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17.xml" ContentType="application/vnd.openxmlformats-officedocument.drawingml.chart+xml"/>
  <Override PartName="/word/charts/chart18.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98D" w:rsidRPr="00AA4903" w:rsidRDefault="0029298D" w:rsidP="002161C5">
      <w:pPr>
        <w:jc w:val="right"/>
        <w:rPr>
          <w:szCs w:val="24"/>
        </w:rPr>
      </w:pPr>
      <w:r w:rsidRPr="00AA4903">
        <w:rPr>
          <w:szCs w:val="24"/>
        </w:rPr>
        <w:t>ПРИЛОЖЕНИЕ</w:t>
      </w:r>
    </w:p>
    <w:p w:rsidR="0029298D" w:rsidRPr="00AA4903" w:rsidRDefault="0029298D" w:rsidP="002161C5">
      <w:pPr>
        <w:jc w:val="right"/>
        <w:rPr>
          <w:szCs w:val="24"/>
        </w:rPr>
      </w:pPr>
      <w:r w:rsidRPr="00AA4903">
        <w:rPr>
          <w:szCs w:val="24"/>
        </w:rPr>
        <w:t xml:space="preserve">к прогнозу </w:t>
      </w:r>
      <w:proofErr w:type="gramStart"/>
      <w:r w:rsidRPr="00AA4903">
        <w:rPr>
          <w:szCs w:val="24"/>
        </w:rPr>
        <w:t>социально-экономического</w:t>
      </w:r>
      <w:proofErr w:type="gramEnd"/>
    </w:p>
    <w:p w:rsidR="0029298D" w:rsidRPr="00AA4903" w:rsidRDefault="0029298D" w:rsidP="002161C5">
      <w:pPr>
        <w:jc w:val="right"/>
        <w:rPr>
          <w:szCs w:val="24"/>
        </w:rPr>
      </w:pPr>
      <w:r w:rsidRPr="00AA4903">
        <w:rPr>
          <w:szCs w:val="24"/>
        </w:rPr>
        <w:t xml:space="preserve">                                                                                     развития Белоярского района на 201</w:t>
      </w:r>
      <w:r>
        <w:rPr>
          <w:szCs w:val="24"/>
        </w:rPr>
        <w:t>5</w:t>
      </w:r>
      <w:r w:rsidRPr="00AA4903">
        <w:rPr>
          <w:szCs w:val="24"/>
        </w:rPr>
        <w:t xml:space="preserve"> год </w:t>
      </w:r>
    </w:p>
    <w:p w:rsidR="0029298D" w:rsidRPr="00AA4903" w:rsidRDefault="0029298D" w:rsidP="002161C5">
      <w:pPr>
        <w:jc w:val="right"/>
        <w:rPr>
          <w:szCs w:val="24"/>
        </w:rPr>
      </w:pPr>
      <w:r w:rsidRPr="00AA4903">
        <w:rPr>
          <w:szCs w:val="24"/>
        </w:rPr>
        <w:t xml:space="preserve">                                                                               и плановый период 201</w:t>
      </w:r>
      <w:r>
        <w:rPr>
          <w:szCs w:val="24"/>
        </w:rPr>
        <w:t xml:space="preserve">6 </w:t>
      </w:r>
      <w:r w:rsidRPr="00AA4903">
        <w:rPr>
          <w:szCs w:val="24"/>
        </w:rPr>
        <w:t>и 201</w:t>
      </w:r>
      <w:r>
        <w:rPr>
          <w:szCs w:val="24"/>
        </w:rPr>
        <w:t>7</w:t>
      </w:r>
      <w:r w:rsidRPr="00AA4903">
        <w:rPr>
          <w:szCs w:val="24"/>
        </w:rPr>
        <w:t xml:space="preserve"> годов</w:t>
      </w:r>
    </w:p>
    <w:p w:rsidR="0029298D" w:rsidRPr="00AA4903" w:rsidRDefault="0029298D" w:rsidP="002161C5">
      <w:pPr>
        <w:jc w:val="center"/>
        <w:rPr>
          <w:b/>
          <w:szCs w:val="24"/>
        </w:rPr>
      </w:pPr>
    </w:p>
    <w:p w:rsidR="0029298D" w:rsidRPr="00AA4903" w:rsidRDefault="0029298D" w:rsidP="002161C5">
      <w:pPr>
        <w:jc w:val="center"/>
        <w:rPr>
          <w:b/>
          <w:szCs w:val="24"/>
        </w:rPr>
      </w:pPr>
    </w:p>
    <w:p w:rsidR="0029298D" w:rsidRPr="00AA4903" w:rsidRDefault="0029298D" w:rsidP="002161C5">
      <w:pPr>
        <w:jc w:val="center"/>
        <w:rPr>
          <w:b/>
          <w:szCs w:val="24"/>
        </w:rPr>
      </w:pPr>
    </w:p>
    <w:p w:rsidR="0029298D" w:rsidRPr="00A745AD" w:rsidRDefault="0029298D" w:rsidP="002161C5">
      <w:pPr>
        <w:jc w:val="center"/>
        <w:rPr>
          <w:b/>
          <w:szCs w:val="24"/>
        </w:rPr>
      </w:pPr>
      <w:r w:rsidRPr="00A745AD">
        <w:rPr>
          <w:b/>
          <w:szCs w:val="24"/>
        </w:rPr>
        <w:t>ПОЯСНИТЕЛЬНАЯ  ЗАПИСКА</w:t>
      </w:r>
    </w:p>
    <w:p w:rsidR="0029298D" w:rsidRPr="00A745AD" w:rsidRDefault="0029298D" w:rsidP="002161C5">
      <w:pPr>
        <w:jc w:val="center"/>
        <w:rPr>
          <w:b/>
          <w:szCs w:val="24"/>
        </w:rPr>
      </w:pPr>
      <w:r w:rsidRPr="00A745AD">
        <w:rPr>
          <w:b/>
          <w:szCs w:val="24"/>
        </w:rPr>
        <w:t>к прогнозу социально-экономического развития Белоярского района</w:t>
      </w:r>
    </w:p>
    <w:p w:rsidR="0029298D" w:rsidRPr="00A745AD" w:rsidRDefault="0029298D" w:rsidP="002161C5">
      <w:pPr>
        <w:jc w:val="center"/>
        <w:rPr>
          <w:b/>
          <w:szCs w:val="24"/>
        </w:rPr>
      </w:pPr>
      <w:r w:rsidRPr="00A745AD">
        <w:rPr>
          <w:b/>
          <w:szCs w:val="24"/>
        </w:rPr>
        <w:t>на 2015 год и плановый период 2016 и 2017 годов</w:t>
      </w:r>
    </w:p>
    <w:p w:rsidR="0029298D" w:rsidRPr="00A745AD" w:rsidRDefault="0029298D" w:rsidP="002161C5">
      <w:pPr>
        <w:pStyle w:val="a3"/>
        <w:spacing w:after="0"/>
        <w:ind w:firstLine="709"/>
        <w:jc w:val="both"/>
        <w:rPr>
          <w:sz w:val="26"/>
          <w:szCs w:val="26"/>
        </w:rPr>
      </w:pPr>
      <w:bookmarkStart w:id="0" w:name="_Toc215485224"/>
    </w:p>
    <w:bookmarkEnd w:id="0"/>
    <w:p w:rsidR="00A40994" w:rsidRPr="006C0587" w:rsidRDefault="00A40994" w:rsidP="002161C5">
      <w:pPr>
        <w:ind w:firstLine="708"/>
        <w:jc w:val="both"/>
        <w:rPr>
          <w:szCs w:val="24"/>
        </w:rPr>
      </w:pPr>
      <w:proofErr w:type="gramStart"/>
      <w:r w:rsidRPr="006C0587">
        <w:rPr>
          <w:szCs w:val="24"/>
        </w:rPr>
        <w:t>Прогноз социально-экономического развития Белоярского района на                          201</w:t>
      </w:r>
      <w:r w:rsidR="00A745AD" w:rsidRPr="006C0587">
        <w:rPr>
          <w:szCs w:val="24"/>
        </w:rPr>
        <w:t>5</w:t>
      </w:r>
      <w:r w:rsidRPr="006C0587">
        <w:rPr>
          <w:szCs w:val="24"/>
        </w:rPr>
        <w:t xml:space="preserve"> год и плановый период 201</w:t>
      </w:r>
      <w:r w:rsidR="00A745AD" w:rsidRPr="006C0587">
        <w:rPr>
          <w:szCs w:val="24"/>
        </w:rPr>
        <w:t>6</w:t>
      </w:r>
      <w:r w:rsidRPr="006C0587">
        <w:rPr>
          <w:szCs w:val="24"/>
        </w:rPr>
        <w:t xml:space="preserve"> и 201</w:t>
      </w:r>
      <w:r w:rsidR="00A745AD" w:rsidRPr="006C0587">
        <w:rPr>
          <w:szCs w:val="24"/>
        </w:rPr>
        <w:t>7</w:t>
      </w:r>
      <w:r w:rsidRPr="006C0587">
        <w:rPr>
          <w:szCs w:val="24"/>
        </w:rPr>
        <w:t xml:space="preserve"> годов разработан на основе сценарных условий, основных параметров прогноза социально-экономического развития Российской Федерации, одобренных Правительством Российской Федерации, с учетом основных ориентиров и приоритетов социально-экономического развития Российской Федерации, Ханты-Мансийского автономного округа </w:t>
      </w:r>
      <w:r w:rsidRPr="006C0587">
        <w:rPr>
          <w:b/>
          <w:bCs/>
          <w:szCs w:val="24"/>
        </w:rPr>
        <w:t xml:space="preserve">– </w:t>
      </w:r>
      <w:r w:rsidRPr="006C0587">
        <w:rPr>
          <w:szCs w:val="24"/>
        </w:rPr>
        <w:t xml:space="preserve">Югры, определенных Президентом Российской Федерации, Губернатором Ханты-Мансийского автономного округа – Югры. </w:t>
      </w:r>
      <w:proofErr w:type="gramEnd"/>
    </w:p>
    <w:p w:rsidR="00A40994" w:rsidRPr="006C0587" w:rsidRDefault="00A40994" w:rsidP="002161C5">
      <w:pPr>
        <w:ind w:firstLine="720"/>
        <w:jc w:val="both"/>
        <w:rPr>
          <w:szCs w:val="24"/>
        </w:rPr>
      </w:pPr>
      <w:r w:rsidRPr="006C0587">
        <w:rPr>
          <w:szCs w:val="24"/>
        </w:rPr>
        <w:t>Прогноз социально-экономического развития Белоярского района на                           201</w:t>
      </w:r>
      <w:r w:rsidR="00A745AD" w:rsidRPr="006C0587">
        <w:rPr>
          <w:szCs w:val="24"/>
        </w:rPr>
        <w:t>5</w:t>
      </w:r>
      <w:r w:rsidRPr="006C0587">
        <w:rPr>
          <w:szCs w:val="24"/>
        </w:rPr>
        <w:t xml:space="preserve"> год и плановый период 201</w:t>
      </w:r>
      <w:r w:rsidR="00A745AD" w:rsidRPr="006C0587">
        <w:rPr>
          <w:szCs w:val="24"/>
        </w:rPr>
        <w:t>6</w:t>
      </w:r>
      <w:r w:rsidRPr="006C0587">
        <w:rPr>
          <w:szCs w:val="24"/>
        </w:rPr>
        <w:t xml:space="preserve"> и 201</w:t>
      </w:r>
      <w:r w:rsidR="00A745AD" w:rsidRPr="006C0587">
        <w:rPr>
          <w:szCs w:val="24"/>
        </w:rPr>
        <w:t>7</w:t>
      </w:r>
      <w:r w:rsidRPr="006C0587">
        <w:rPr>
          <w:szCs w:val="24"/>
        </w:rPr>
        <w:t xml:space="preserve"> годов выполнен в двух вариантах. </w:t>
      </w:r>
    </w:p>
    <w:p w:rsidR="00A745AD" w:rsidRPr="006C0587" w:rsidRDefault="00A745AD" w:rsidP="002161C5">
      <w:pPr>
        <w:ind w:firstLine="720"/>
        <w:jc w:val="both"/>
        <w:rPr>
          <w:szCs w:val="24"/>
        </w:rPr>
      </w:pPr>
      <w:r w:rsidRPr="006C0587">
        <w:rPr>
          <w:b/>
          <w:szCs w:val="24"/>
        </w:rPr>
        <w:t>Вариант</w:t>
      </w:r>
      <w:r w:rsidR="00A40994" w:rsidRPr="006C0587">
        <w:rPr>
          <w:b/>
          <w:szCs w:val="24"/>
        </w:rPr>
        <w:t xml:space="preserve"> 1</w:t>
      </w:r>
      <w:r w:rsidR="00315A02">
        <w:rPr>
          <w:b/>
          <w:szCs w:val="24"/>
        </w:rPr>
        <w:t xml:space="preserve"> </w:t>
      </w:r>
      <w:r w:rsidRPr="006C0587">
        <w:rPr>
          <w:b/>
          <w:szCs w:val="24"/>
        </w:rPr>
        <w:t>(базовый)</w:t>
      </w:r>
      <w:r w:rsidR="00315A02">
        <w:rPr>
          <w:b/>
          <w:szCs w:val="24"/>
        </w:rPr>
        <w:t xml:space="preserve"> </w:t>
      </w:r>
      <w:r w:rsidR="00315A02">
        <w:rPr>
          <w:szCs w:val="24"/>
        </w:rPr>
        <w:t>-</w:t>
      </w:r>
      <w:r w:rsidR="00A40994" w:rsidRPr="006C0587">
        <w:rPr>
          <w:szCs w:val="24"/>
        </w:rPr>
        <w:t xml:space="preserve">  предполагает сохранение </w:t>
      </w:r>
      <w:r w:rsidRPr="006C0587">
        <w:rPr>
          <w:szCs w:val="24"/>
        </w:rPr>
        <w:t>инерционных</w:t>
      </w:r>
      <w:r w:rsidR="00A40994" w:rsidRPr="006C0587">
        <w:rPr>
          <w:szCs w:val="24"/>
        </w:rPr>
        <w:t xml:space="preserve"> трендов,  </w:t>
      </w:r>
      <w:r w:rsidRPr="006C0587">
        <w:rPr>
          <w:szCs w:val="24"/>
        </w:rPr>
        <w:t xml:space="preserve">сложившихся в последний период, </w:t>
      </w:r>
      <w:r w:rsidR="00A40994" w:rsidRPr="006C0587">
        <w:rPr>
          <w:szCs w:val="24"/>
        </w:rPr>
        <w:t>консервативн</w:t>
      </w:r>
      <w:r w:rsidRPr="006C0587">
        <w:rPr>
          <w:szCs w:val="24"/>
        </w:rPr>
        <w:t>ую</w:t>
      </w:r>
      <w:r w:rsidR="00A40994" w:rsidRPr="006C0587">
        <w:rPr>
          <w:szCs w:val="24"/>
        </w:rPr>
        <w:t xml:space="preserve"> инвестиционн</w:t>
      </w:r>
      <w:r w:rsidRPr="006C0587">
        <w:rPr>
          <w:szCs w:val="24"/>
        </w:rPr>
        <w:t>ую</w:t>
      </w:r>
      <w:r w:rsidR="00A40994" w:rsidRPr="006C0587">
        <w:rPr>
          <w:szCs w:val="24"/>
        </w:rPr>
        <w:t xml:space="preserve"> политик</w:t>
      </w:r>
      <w:r w:rsidRPr="006C0587">
        <w:rPr>
          <w:szCs w:val="24"/>
        </w:rPr>
        <w:t>у</w:t>
      </w:r>
      <w:r w:rsidR="00A40994" w:rsidRPr="006C0587">
        <w:rPr>
          <w:szCs w:val="24"/>
        </w:rPr>
        <w:t xml:space="preserve"> частных компаний</w:t>
      </w:r>
      <w:r w:rsidRPr="006C0587">
        <w:rPr>
          <w:szCs w:val="24"/>
        </w:rPr>
        <w:t>, ограниченные расходы на развитие компаний инфраструктурного сектора, при стагнации государственного спроса. Бюджетная политика строится в рамках текущих бюджетных правил, что ведет к снижению в реальном выражении государственного инвестиционного спроса.</w:t>
      </w:r>
    </w:p>
    <w:p w:rsidR="002D4FDD" w:rsidRDefault="00A745AD" w:rsidP="002161C5">
      <w:pPr>
        <w:ind w:firstLine="720"/>
        <w:jc w:val="both"/>
        <w:rPr>
          <w:szCs w:val="24"/>
        </w:rPr>
      </w:pPr>
      <w:r w:rsidRPr="006C0587">
        <w:rPr>
          <w:b/>
          <w:szCs w:val="24"/>
        </w:rPr>
        <w:t>Вариант 2 (умеренно-оптимистичный)</w:t>
      </w:r>
      <w:r w:rsidR="00315A02">
        <w:rPr>
          <w:b/>
          <w:szCs w:val="24"/>
        </w:rPr>
        <w:t xml:space="preserve"> </w:t>
      </w:r>
      <w:r w:rsidRPr="006C0587">
        <w:rPr>
          <w:b/>
          <w:szCs w:val="24"/>
        </w:rPr>
        <w:t>–</w:t>
      </w:r>
      <w:r w:rsidR="00315A02">
        <w:rPr>
          <w:b/>
          <w:szCs w:val="24"/>
        </w:rPr>
        <w:t xml:space="preserve"> </w:t>
      </w:r>
      <w:r w:rsidRPr="006C0587">
        <w:rPr>
          <w:szCs w:val="24"/>
        </w:rPr>
        <w:t>предполагает</w:t>
      </w:r>
      <w:r w:rsidR="00315A02">
        <w:rPr>
          <w:szCs w:val="24"/>
        </w:rPr>
        <w:t xml:space="preserve"> </w:t>
      </w:r>
      <w:r w:rsidRPr="006C0587">
        <w:rPr>
          <w:szCs w:val="24"/>
        </w:rPr>
        <w:t xml:space="preserve">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A40994" w:rsidRPr="006C0587" w:rsidRDefault="00A745AD" w:rsidP="002161C5">
      <w:pPr>
        <w:ind w:firstLine="720"/>
        <w:jc w:val="both"/>
        <w:rPr>
          <w:b/>
          <w:szCs w:val="24"/>
        </w:rPr>
      </w:pPr>
      <w:r w:rsidRPr="006C0587">
        <w:rPr>
          <w:szCs w:val="24"/>
        </w:rPr>
        <w:t>Первый вариант</w:t>
      </w:r>
      <w:r w:rsidR="00A40994" w:rsidRPr="006C0587">
        <w:rPr>
          <w:szCs w:val="24"/>
        </w:rPr>
        <w:t xml:space="preserve"> прогноза рассматривается как основной для составления бюджета  Белоярского района на 201</w:t>
      </w:r>
      <w:r w:rsidRPr="006C0587">
        <w:rPr>
          <w:szCs w:val="24"/>
        </w:rPr>
        <w:t>5</w:t>
      </w:r>
      <w:r w:rsidR="00A40994" w:rsidRPr="006C0587">
        <w:rPr>
          <w:szCs w:val="24"/>
        </w:rPr>
        <w:t xml:space="preserve"> год и плановый период 201</w:t>
      </w:r>
      <w:r w:rsidRPr="006C0587">
        <w:rPr>
          <w:szCs w:val="24"/>
        </w:rPr>
        <w:t>6</w:t>
      </w:r>
      <w:r w:rsidR="00A40994" w:rsidRPr="006C0587">
        <w:rPr>
          <w:szCs w:val="24"/>
        </w:rPr>
        <w:t xml:space="preserve"> и 201</w:t>
      </w:r>
      <w:r w:rsidRPr="006C0587">
        <w:rPr>
          <w:szCs w:val="24"/>
        </w:rPr>
        <w:t>7</w:t>
      </w:r>
      <w:r w:rsidR="00A40994" w:rsidRPr="006C0587">
        <w:rPr>
          <w:szCs w:val="24"/>
        </w:rPr>
        <w:t xml:space="preserve"> годов.</w:t>
      </w:r>
    </w:p>
    <w:p w:rsidR="0029298D" w:rsidRPr="006C0587" w:rsidRDefault="0029298D" w:rsidP="002161C5">
      <w:pPr>
        <w:rPr>
          <w:b/>
          <w:color w:val="FF0000"/>
          <w:szCs w:val="24"/>
        </w:rPr>
      </w:pPr>
    </w:p>
    <w:p w:rsidR="00473974" w:rsidRPr="002161C5" w:rsidRDefault="0029298D" w:rsidP="002161C5">
      <w:pPr>
        <w:ind w:left="-567" w:firstLine="425"/>
        <w:jc w:val="center"/>
        <w:rPr>
          <w:b/>
          <w:szCs w:val="24"/>
        </w:rPr>
      </w:pPr>
      <w:r w:rsidRPr="002161C5">
        <w:rPr>
          <w:b/>
          <w:szCs w:val="24"/>
        </w:rPr>
        <w:t>Промышленное производство</w:t>
      </w:r>
    </w:p>
    <w:p w:rsidR="006C0587" w:rsidRPr="002161C5" w:rsidRDefault="006C0587" w:rsidP="002161C5">
      <w:pPr>
        <w:ind w:left="-567" w:firstLine="425"/>
        <w:jc w:val="center"/>
        <w:rPr>
          <w:b/>
          <w:szCs w:val="24"/>
        </w:rPr>
      </w:pPr>
    </w:p>
    <w:p w:rsidR="00B04D78" w:rsidRPr="004952E9" w:rsidRDefault="00B04D78" w:rsidP="002161C5">
      <w:pPr>
        <w:ind w:firstLine="720"/>
        <w:jc w:val="both"/>
        <w:rPr>
          <w:szCs w:val="24"/>
        </w:rPr>
      </w:pPr>
      <w:r w:rsidRPr="004952E9">
        <w:rPr>
          <w:szCs w:val="24"/>
        </w:rPr>
        <w:t xml:space="preserve">Прогноз промышленного производства Белоярского района в среднесрочном периоде учитывает умеренное развитие всех его отраслей. </w:t>
      </w:r>
    </w:p>
    <w:p w:rsidR="00B04D78" w:rsidRPr="004952E9" w:rsidRDefault="00B04D78" w:rsidP="002161C5">
      <w:pPr>
        <w:tabs>
          <w:tab w:val="left" w:pos="720"/>
        </w:tabs>
        <w:ind w:firstLine="720"/>
        <w:jc w:val="both"/>
        <w:rPr>
          <w:szCs w:val="24"/>
        </w:rPr>
      </w:pPr>
      <w:r w:rsidRPr="004952E9">
        <w:rPr>
          <w:b/>
          <w:szCs w:val="24"/>
        </w:rPr>
        <w:t>Объем отгруженных товаров</w:t>
      </w:r>
      <w:r w:rsidRPr="004952E9">
        <w:rPr>
          <w:szCs w:val="24"/>
        </w:rPr>
        <w:t xml:space="preserve"> собственного производства, выполненных работ и услуг собственными силами производителей </w:t>
      </w:r>
      <w:r w:rsidRPr="004952E9">
        <w:rPr>
          <w:b/>
          <w:szCs w:val="24"/>
        </w:rPr>
        <w:t>промышленной продукции</w:t>
      </w:r>
      <w:r w:rsidR="003C2D1A" w:rsidRPr="004952E9">
        <w:rPr>
          <w:szCs w:val="24"/>
        </w:rPr>
        <w:t xml:space="preserve"> (по</w:t>
      </w:r>
      <w:r w:rsidR="003C2D1A">
        <w:rPr>
          <w:szCs w:val="24"/>
        </w:rPr>
        <w:t xml:space="preserve"> </w:t>
      </w:r>
      <w:r w:rsidR="003C2D1A" w:rsidRPr="004952E9">
        <w:rPr>
          <w:szCs w:val="24"/>
        </w:rPr>
        <w:t>крупным и средним</w:t>
      </w:r>
      <w:r w:rsidR="003C2D1A">
        <w:rPr>
          <w:szCs w:val="24"/>
        </w:rPr>
        <w:t xml:space="preserve"> предприятиям</w:t>
      </w:r>
      <w:r w:rsidR="003C2D1A" w:rsidRPr="004952E9">
        <w:rPr>
          <w:szCs w:val="24"/>
        </w:rPr>
        <w:t>)</w:t>
      </w:r>
      <w:r w:rsidR="003C2D1A">
        <w:rPr>
          <w:szCs w:val="24"/>
        </w:rPr>
        <w:t xml:space="preserve"> за</w:t>
      </w:r>
      <w:r w:rsidRPr="004952E9">
        <w:rPr>
          <w:szCs w:val="24"/>
        </w:rPr>
        <w:t xml:space="preserve"> 2013 год составил </w:t>
      </w:r>
      <w:r w:rsidRPr="004952E9">
        <w:rPr>
          <w:b/>
          <w:szCs w:val="24"/>
        </w:rPr>
        <w:t xml:space="preserve">14 478,5 </w:t>
      </w:r>
      <w:r w:rsidRPr="004952E9">
        <w:rPr>
          <w:szCs w:val="24"/>
        </w:rPr>
        <w:t xml:space="preserve">млн. рублей. </w:t>
      </w:r>
      <w:r w:rsidRPr="004952E9">
        <w:rPr>
          <w:b/>
          <w:bCs/>
          <w:szCs w:val="24"/>
        </w:rPr>
        <w:t>Индекс промышленного производства по району</w:t>
      </w:r>
      <w:r w:rsidRPr="004952E9">
        <w:rPr>
          <w:bCs/>
          <w:szCs w:val="24"/>
        </w:rPr>
        <w:t xml:space="preserve"> (</w:t>
      </w:r>
      <w:r w:rsidRPr="004952E9">
        <w:rPr>
          <w:b/>
          <w:bCs/>
          <w:szCs w:val="24"/>
        </w:rPr>
        <w:t>104,8%),</w:t>
      </w:r>
      <w:r w:rsidRPr="004952E9">
        <w:rPr>
          <w:bCs/>
          <w:szCs w:val="24"/>
        </w:rPr>
        <w:t xml:space="preserve"> как и в прежние годы, опережает </w:t>
      </w:r>
      <w:proofErr w:type="spellStart"/>
      <w:r w:rsidRPr="004952E9">
        <w:rPr>
          <w:bCs/>
          <w:szCs w:val="24"/>
        </w:rPr>
        <w:t>среднеокружной</w:t>
      </w:r>
      <w:proofErr w:type="spellEnd"/>
      <w:r w:rsidRPr="004952E9">
        <w:rPr>
          <w:bCs/>
          <w:szCs w:val="24"/>
        </w:rPr>
        <w:t xml:space="preserve"> (99,2%) и </w:t>
      </w:r>
      <w:proofErr w:type="spellStart"/>
      <w:r w:rsidRPr="004952E9">
        <w:rPr>
          <w:bCs/>
          <w:szCs w:val="24"/>
        </w:rPr>
        <w:t>среднероссийский</w:t>
      </w:r>
      <w:proofErr w:type="spellEnd"/>
      <w:r w:rsidRPr="004952E9">
        <w:rPr>
          <w:bCs/>
          <w:szCs w:val="24"/>
        </w:rPr>
        <w:t xml:space="preserve"> (100,3%) уровни.</w:t>
      </w:r>
    </w:p>
    <w:p w:rsidR="00B04D78" w:rsidRPr="004952E9" w:rsidRDefault="00B04D78" w:rsidP="002161C5">
      <w:pPr>
        <w:tabs>
          <w:tab w:val="left" w:pos="720"/>
        </w:tabs>
        <w:ind w:firstLine="720"/>
        <w:jc w:val="both"/>
        <w:rPr>
          <w:szCs w:val="24"/>
        </w:rPr>
      </w:pPr>
      <w:r w:rsidRPr="004952E9">
        <w:rPr>
          <w:szCs w:val="24"/>
        </w:rPr>
        <w:t xml:space="preserve">По предварительной оценке в 2014 году объем промышленного производства в действующих ценах составит 17 338,6 млн. рублей, индекс производства – 110,2%. Значительный рост объема промышленного производства ожидается в связи с постоянным интенсивным осуществлением добычи нефти нефтедобывающей компании ОАО «Сургутнефтегаз», а также освоением месторождения им. В.Н. Виноградова               ТПП «РИТЭКБелоярскнефть» ОАО «РИТЭК». </w:t>
      </w:r>
    </w:p>
    <w:p w:rsidR="00B04D78" w:rsidRPr="004952E9" w:rsidRDefault="00B04D78" w:rsidP="002161C5">
      <w:pPr>
        <w:ind w:firstLine="720"/>
        <w:jc w:val="both"/>
        <w:rPr>
          <w:szCs w:val="24"/>
        </w:rPr>
      </w:pPr>
      <w:r w:rsidRPr="004952E9">
        <w:rPr>
          <w:szCs w:val="24"/>
        </w:rPr>
        <w:t xml:space="preserve">В прогнозном периоде 2015-2017 годов объем отгруженных товаров промышленного производства составит по 1 варианту (базовый): 2015 год – 26 800,2 млн. руб., 2016 год – 34 854,9 млн. руб., 2017 год – 46 287,6 млн. руб. Индекс промышленного </w:t>
      </w:r>
      <w:r w:rsidRPr="004952E9">
        <w:rPr>
          <w:szCs w:val="24"/>
        </w:rPr>
        <w:lastRenderedPageBreak/>
        <w:t>производства в 2015 году ожидается на уровне 152,2%, в 2016 и 2017 годах – 126,2% и 129,8% соответственно.</w:t>
      </w:r>
    </w:p>
    <w:p w:rsidR="00B04D78" w:rsidRPr="00F1088B" w:rsidRDefault="00B04D78" w:rsidP="002161C5">
      <w:pPr>
        <w:jc w:val="right"/>
        <w:rPr>
          <w:color w:val="FF0000"/>
          <w:szCs w:val="24"/>
        </w:rPr>
      </w:pPr>
    </w:p>
    <w:p w:rsidR="00B04D78" w:rsidRPr="00C342B9" w:rsidRDefault="00B04D78" w:rsidP="002161C5">
      <w:pPr>
        <w:jc w:val="right"/>
        <w:rPr>
          <w:szCs w:val="24"/>
        </w:rPr>
      </w:pPr>
      <w:r w:rsidRPr="00C342B9">
        <w:rPr>
          <w:szCs w:val="24"/>
        </w:rPr>
        <w:t>Диаграмма 1</w:t>
      </w:r>
    </w:p>
    <w:p w:rsidR="00B04D78" w:rsidRPr="00F1088B" w:rsidRDefault="00B04D78" w:rsidP="002161C5">
      <w:pPr>
        <w:rPr>
          <w:color w:val="FF0000"/>
          <w:szCs w:val="24"/>
        </w:rPr>
      </w:pPr>
      <w:r w:rsidRPr="00C342B9">
        <w:rPr>
          <w:noProof/>
          <w:szCs w:val="24"/>
        </w:rPr>
        <w:drawing>
          <wp:inline distT="0" distB="0" distL="0" distR="0">
            <wp:extent cx="5819775" cy="3228975"/>
            <wp:effectExtent l="19050" t="0" r="9525"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04D78" w:rsidRPr="00F1088B" w:rsidRDefault="00B04D78" w:rsidP="002161C5">
      <w:pPr>
        <w:rPr>
          <w:color w:val="FF0000"/>
          <w:szCs w:val="24"/>
        </w:rPr>
      </w:pPr>
    </w:p>
    <w:p w:rsidR="00B04D78" w:rsidRPr="00C342B9" w:rsidRDefault="00B04D78" w:rsidP="002161C5">
      <w:pPr>
        <w:ind w:firstLine="708"/>
        <w:jc w:val="both"/>
        <w:rPr>
          <w:szCs w:val="24"/>
        </w:rPr>
      </w:pPr>
      <w:r w:rsidRPr="00C342B9">
        <w:rPr>
          <w:szCs w:val="24"/>
        </w:rPr>
        <w:t xml:space="preserve">По удельному весу в общем  объеме  промышленного производства ведущее положение в оценке 2014 года занимает </w:t>
      </w:r>
      <w:r w:rsidRPr="00C342B9">
        <w:rPr>
          <w:b/>
          <w:szCs w:val="24"/>
        </w:rPr>
        <w:t>сфера добычи полезных ископаемых</w:t>
      </w:r>
      <w:r w:rsidRPr="00C342B9">
        <w:rPr>
          <w:szCs w:val="24"/>
        </w:rPr>
        <w:t xml:space="preserve"> – 84,0%, обрабатывающее производство – 9,5%, отрасль производства и распределения электроэнергии, газа и воды – 6,5%. </w:t>
      </w:r>
    </w:p>
    <w:p w:rsidR="00B04D78" w:rsidRPr="00C342B9" w:rsidRDefault="00B04D78" w:rsidP="002161C5">
      <w:pPr>
        <w:ind w:firstLine="709"/>
        <w:jc w:val="right"/>
        <w:rPr>
          <w:szCs w:val="24"/>
        </w:rPr>
      </w:pPr>
    </w:p>
    <w:p w:rsidR="00B04D78" w:rsidRPr="00C342B9" w:rsidRDefault="00B04D78" w:rsidP="002161C5">
      <w:pPr>
        <w:ind w:firstLine="709"/>
        <w:jc w:val="right"/>
        <w:rPr>
          <w:szCs w:val="24"/>
        </w:rPr>
      </w:pPr>
      <w:r w:rsidRPr="00C342B9">
        <w:rPr>
          <w:szCs w:val="24"/>
        </w:rPr>
        <w:t xml:space="preserve">Диаграмма 2 </w:t>
      </w:r>
    </w:p>
    <w:p w:rsidR="00B04D78" w:rsidRPr="00F1088B" w:rsidRDefault="00B04D78" w:rsidP="002161C5">
      <w:pPr>
        <w:rPr>
          <w:color w:val="FF0000"/>
          <w:szCs w:val="24"/>
        </w:rPr>
      </w:pPr>
      <w:r w:rsidRPr="00F1088B">
        <w:rPr>
          <w:noProof/>
          <w:color w:val="FF0000"/>
          <w:szCs w:val="24"/>
        </w:rPr>
        <w:drawing>
          <wp:inline distT="0" distB="0" distL="0" distR="0">
            <wp:extent cx="5719445" cy="2628900"/>
            <wp:effectExtent l="19050" t="0" r="14605" b="0"/>
            <wp:docPr id="11"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04D78" w:rsidRPr="00F1088B" w:rsidRDefault="00B04D78" w:rsidP="002161C5">
      <w:pPr>
        <w:ind w:firstLine="720"/>
        <w:jc w:val="both"/>
        <w:rPr>
          <w:color w:val="FF0000"/>
          <w:szCs w:val="24"/>
        </w:rPr>
      </w:pPr>
    </w:p>
    <w:p w:rsidR="00B04D78" w:rsidRPr="00760FFC" w:rsidRDefault="00B04D78" w:rsidP="002161C5">
      <w:pPr>
        <w:ind w:firstLine="720"/>
        <w:jc w:val="both"/>
        <w:rPr>
          <w:szCs w:val="24"/>
        </w:rPr>
      </w:pPr>
      <w:r w:rsidRPr="00760FFC">
        <w:rPr>
          <w:szCs w:val="24"/>
        </w:rPr>
        <w:t>По предварительным данным в динамике 2015-2017 годов в структуре промышленного производства доля сферы добычи полезных ископаемых достигнет уровня 89 – 93%.</w:t>
      </w:r>
    </w:p>
    <w:p w:rsidR="00B04D78" w:rsidRPr="00760FFC" w:rsidRDefault="00B04D78" w:rsidP="002161C5">
      <w:pPr>
        <w:ind w:firstLine="709"/>
        <w:rPr>
          <w:b/>
          <w:i/>
          <w:szCs w:val="24"/>
        </w:rPr>
      </w:pPr>
    </w:p>
    <w:p w:rsidR="00B04D78" w:rsidRPr="00760FFC" w:rsidRDefault="00B04D78" w:rsidP="00003EDF">
      <w:pPr>
        <w:ind w:firstLine="709"/>
        <w:rPr>
          <w:b/>
          <w:i/>
          <w:szCs w:val="24"/>
        </w:rPr>
      </w:pPr>
      <w:r w:rsidRPr="00760FFC">
        <w:rPr>
          <w:b/>
          <w:i/>
          <w:szCs w:val="24"/>
        </w:rPr>
        <w:t>Сфера добычи полезных ископаемых</w:t>
      </w:r>
    </w:p>
    <w:p w:rsidR="00B04D78" w:rsidRPr="00760FFC" w:rsidRDefault="00B04D78" w:rsidP="002161C5">
      <w:pPr>
        <w:tabs>
          <w:tab w:val="left" w:pos="851"/>
        </w:tabs>
        <w:ind w:firstLine="709"/>
        <w:jc w:val="both"/>
        <w:rPr>
          <w:b/>
          <w:bCs/>
          <w:szCs w:val="24"/>
        </w:rPr>
      </w:pPr>
      <w:r w:rsidRPr="00760FFC">
        <w:rPr>
          <w:b/>
          <w:szCs w:val="24"/>
        </w:rPr>
        <w:t>Объем отгруженных товаров</w:t>
      </w:r>
      <w:r w:rsidRPr="00760FFC">
        <w:rPr>
          <w:szCs w:val="24"/>
        </w:rPr>
        <w:t xml:space="preserve"> собственного производства, выполненных ра</w:t>
      </w:r>
      <w:r w:rsidR="009B18F6">
        <w:rPr>
          <w:szCs w:val="24"/>
        </w:rPr>
        <w:t>бот и услуг собственными силами</w:t>
      </w:r>
      <w:r w:rsidRPr="00760FFC">
        <w:rPr>
          <w:szCs w:val="24"/>
        </w:rPr>
        <w:t xml:space="preserve"> производителей промышленной продукции </w:t>
      </w:r>
      <w:r w:rsidR="009B18F6">
        <w:rPr>
          <w:szCs w:val="24"/>
        </w:rPr>
        <w:t xml:space="preserve"> </w:t>
      </w:r>
      <w:r w:rsidRPr="00760FFC">
        <w:rPr>
          <w:szCs w:val="24"/>
        </w:rPr>
        <w:t>в с</w:t>
      </w:r>
      <w:r w:rsidR="009B18F6">
        <w:rPr>
          <w:szCs w:val="24"/>
        </w:rPr>
        <w:t xml:space="preserve">фере добычи </w:t>
      </w:r>
      <w:r w:rsidR="009B18F6">
        <w:rPr>
          <w:szCs w:val="24"/>
        </w:rPr>
        <w:lastRenderedPageBreak/>
        <w:t xml:space="preserve">полезных ископаемых </w:t>
      </w:r>
      <w:r w:rsidR="00BF05CF" w:rsidRPr="00760FFC">
        <w:rPr>
          <w:szCs w:val="24"/>
        </w:rPr>
        <w:t>(по</w:t>
      </w:r>
      <w:r w:rsidR="00BF05CF">
        <w:rPr>
          <w:szCs w:val="24"/>
        </w:rPr>
        <w:t xml:space="preserve"> </w:t>
      </w:r>
      <w:r w:rsidR="00BF05CF" w:rsidRPr="00760FFC">
        <w:rPr>
          <w:szCs w:val="24"/>
        </w:rPr>
        <w:t>крупным и средним</w:t>
      </w:r>
      <w:r w:rsidR="00BF05CF">
        <w:rPr>
          <w:szCs w:val="24"/>
        </w:rPr>
        <w:t xml:space="preserve"> предприятиям</w:t>
      </w:r>
      <w:r w:rsidR="00BF05CF" w:rsidRPr="00760FFC">
        <w:rPr>
          <w:szCs w:val="24"/>
        </w:rPr>
        <w:t>)</w:t>
      </w:r>
      <w:r w:rsidR="00BF05CF">
        <w:rPr>
          <w:szCs w:val="24"/>
        </w:rPr>
        <w:t xml:space="preserve"> </w:t>
      </w:r>
      <w:r w:rsidRPr="00760FFC">
        <w:rPr>
          <w:szCs w:val="24"/>
        </w:rPr>
        <w:t xml:space="preserve">за 2013 год составил </w:t>
      </w:r>
      <w:r w:rsidRPr="00760FFC">
        <w:rPr>
          <w:b/>
          <w:szCs w:val="24"/>
        </w:rPr>
        <w:t xml:space="preserve">11 716,0 </w:t>
      </w:r>
      <w:r w:rsidRPr="00760FFC">
        <w:rPr>
          <w:szCs w:val="24"/>
        </w:rPr>
        <w:t xml:space="preserve">млн. рублей, </w:t>
      </w:r>
      <w:r w:rsidRPr="00760FFC">
        <w:rPr>
          <w:b/>
          <w:szCs w:val="24"/>
        </w:rPr>
        <w:t>и</w:t>
      </w:r>
      <w:r w:rsidRPr="00760FFC">
        <w:rPr>
          <w:b/>
          <w:bCs/>
          <w:szCs w:val="24"/>
        </w:rPr>
        <w:t xml:space="preserve">ндекс производства – 106,4% </w:t>
      </w:r>
      <w:r w:rsidRPr="00760FFC">
        <w:rPr>
          <w:bCs/>
          <w:szCs w:val="24"/>
        </w:rPr>
        <w:t>в сопоставимых ценах по отношению к прошлому году</w:t>
      </w:r>
      <w:r w:rsidRPr="00760FFC">
        <w:rPr>
          <w:b/>
          <w:bCs/>
          <w:szCs w:val="24"/>
        </w:rPr>
        <w:t>.</w:t>
      </w:r>
    </w:p>
    <w:p w:rsidR="00B04D78" w:rsidRPr="00760FFC" w:rsidRDefault="00B04D78" w:rsidP="002161C5">
      <w:pPr>
        <w:tabs>
          <w:tab w:val="left" w:pos="851"/>
        </w:tabs>
        <w:ind w:firstLine="709"/>
        <w:jc w:val="both"/>
        <w:rPr>
          <w:szCs w:val="24"/>
        </w:rPr>
      </w:pPr>
      <w:r w:rsidRPr="00760FFC">
        <w:rPr>
          <w:szCs w:val="24"/>
        </w:rPr>
        <w:t>По предварительной оценке в 2014 году объем отгруженных товаров собственного производства, выполненных работ и услуг собственными силами производителей промышленной пр</w:t>
      </w:r>
      <w:r w:rsidR="00BF05CF">
        <w:rPr>
          <w:szCs w:val="24"/>
        </w:rPr>
        <w:t>одукции</w:t>
      </w:r>
      <w:r w:rsidR="009B18F6" w:rsidRPr="00760FFC">
        <w:rPr>
          <w:szCs w:val="24"/>
        </w:rPr>
        <w:t xml:space="preserve"> </w:t>
      </w:r>
      <w:r w:rsidRPr="00760FFC">
        <w:rPr>
          <w:szCs w:val="24"/>
        </w:rPr>
        <w:t xml:space="preserve">в сфере добычи полезных ископаемых </w:t>
      </w:r>
      <w:r w:rsidR="00BF05CF" w:rsidRPr="00760FFC">
        <w:rPr>
          <w:szCs w:val="24"/>
        </w:rPr>
        <w:t>(по</w:t>
      </w:r>
      <w:r w:rsidR="00BF05CF">
        <w:rPr>
          <w:szCs w:val="24"/>
        </w:rPr>
        <w:t xml:space="preserve"> </w:t>
      </w:r>
      <w:r w:rsidR="00BF05CF" w:rsidRPr="00760FFC">
        <w:rPr>
          <w:szCs w:val="24"/>
        </w:rPr>
        <w:t xml:space="preserve">крупным и </w:t>
      </w:r>
      <w:r w:rsidR="00BF05CF">
        <w:rPr>
          <w:szCs w:val="24"/>
        </w:rPr>
        <w:t xml:space="preserve">  </w:t>
      </w:r>
      <w:r w:rsidR="00BF05CF" w:rsidRPr="00760FFC">
        <w:rPr>
          <w:szCs w:val="24"/>
        </w:rPr>
        <w:t>средним</w:t>
      </w:r>
      <w:r w:rsidR="00BF05CF">
        <w:rPr>
          <w:szCs w:val="24"/>
        </w:rPr>
        <w:t xml:space="preserve"> предприятиям</w:t>
      </w:r>
      <w:r w:rsidR="00BF05CF" w:rsidRPr="00760FFC">
        <w:rPr>
          <w:szCs w:val="24"/>
        </w:rPr>
        <w:t>)</w:t>
      </w:r>
      <w:r w:rsidR="00BF05CF">
        <w:rPr>
          <w:szCs w:val="24"/>
        </w:rPr>
        <w:t xml:space="preserve"> </w:t>
      </w:r>
      <w:r w:rsidRPr="00760FFC">
        <w:rPr>
          <w:szCs w:val="24"/>
        </w:rPr>
        <w:t>в действующих ценах составит 14 571,1 млн. рублей, индекс производства – 112,5%.</w:t>
      </w:r>
    </w:p>
    <w:p w:rsidR="00B04D78" w:rsidRPr="00760FFC" w:rsidRDefault="00B04D78" w:rsidP="002161C5">
      <w:pPr>
        <w:tabs>
          <w:tab w:val="left" w:pos="851"/>
        </w:tabs>
        <w:ind w:firstLine="709"/>
        <w:jc w:val="both"/>
        <w:rPr>
          <w:b/>
          <w:bCs/>
          <w:szCs w:val="24"/>
        </w:rPr>
      </w:pPr>
      <w:r w:rsidRPr="00760FFC">
        <w:rPr>
          <w:szCs w:val="24"/>
        </w:rPr>
        <w:t xml:space="preserve">Большое влияние на рост объемов промышленного производства оказывает </w:t>
      </w:r>
      <w:r w:rsidRPr="00760FFC">
        <w:rPr>
          <w:b/>
          <w:szCs w:val="24"/>
        </w:rPr>
        <w:t>нефтедобывающая отрасль, на долю которой</w:t>
      </w:r>
      <w:r w:rsidRPr="00760FFC">
        <w:rPr>
          <w:szCs w:val="24"/>
        </w:rPr>
        <w:t xml:space="preserve"> приходится </w:t>
      </w:r>
      <w:r w:rsidRPr="00760FFC">
        <w:rPr>
          <w:b/>
          <w:szCs w:val="24"/>
        </w:rPr>
        <w:t xml:space="preserve">84,0%. </w:t>
      </w:r>
      <w:r w:rsidRPr="00760FFC">
        <w:rPr>
          <w:szCs w:val="24"/>
        </w:rPr>
        <w:t>На территории Белоярского района добычу нефти осуществляют ОАО «Сургутнефтегаз» и                           ТПП «РИТЭКБелоярскнефть» ОАО «РИТЭК».</w:t>
      </w:r>
    </w:p>
    <w:p w:rsidR="00B04D78" w:rsidRPr="0095725E" w:rsidRDefault="00B04D78" w:rsidP="002161C5">
      <w:pPr>
        <w:ind w:firstLine="708"/>
        <w:jc w:val="both"/>
        <w:rPr>
          <w:bCs/>
          <w:szCs w:val="24"/>
        </w:rPr>
      </w:pPr>
      <w:r w:rsidRPr="00760FFC">
        <w:rPr>
          <w:bCs/>
          <w:szCs w:val="24"/>
        </w:rPr>
        <w:t xml:space="preserve">За </w:t>
      </w:r>
      <w:r w:rsidRPr="0095725E">
        <w:rPr>
          <w:bCs/>
          <w:szCs w:val="24"/>
        </w:rPr>
        <w:t xml:space="preserve">2013 год </w:t>
      </w:r>
      <w:r w:rsidRPr="0095725E">
        <w:rPr>
          <w:b/>
          <w:bCs/>
          <w:szCs w:val="24"/>
        </w:rPr>
        <w:t>объем добычи нефти</w:t>
      </w:r>
      <w:r w:rsidRPr="0095725E">
        <w:rPr>
          <w:bCs/>
          <w:szCs w:val="24"/>
        </w:rPr>
        <w:t xml:space="preserve"> на территории Белоярского района составил         </w:t>
      </w:r>
      <w:r w:rsidRPr="0095725E">
        <w:rPr>
          <w:b/>
          <w:bCs/>
          <w:szCs w:val="24"/>
        </w:rPr>
        <w:t>938,8 тыс. тонн или 106,3% к уровню 2012 года</w:t>
      </w:r>
      <w:r w:rsidRPr="0095725E">
        <w:rPr>
          <w:bCs/>
          <w:szCs w:val="24"/>
        </w:rPr>
        <w:t xml:space="preserve">. </w:t>
      </w:r>
    </w:p>
    <w:p w:rsidR="00B04D78" w:rsidRDefault="00B04D78" w:rsidP="002161C5">
      <w:pPr>
        <w:ind w:firstLine="708"/>
        <w:jc w:val="both"/>
        <w:rPr>
          <w:szCs w:val="24"/>
        </w:rPr>
      </w:pPr>
      <w:r w:rsidRPr="0095725E">
        <w:rPr>
          <w:szCs w:val="24"/>
        </w:rPr>
        <w:t>На долю ОАО «Сургутнефтегаз» приходится 70,4% общего объема добычи нефти на территории Белоярского района. Сфера деятельности компании охватывает  разведку, обустройство и разработку нефтяных и нефтегазовых месторождений, добычу и реализацию нефти и газа. ОАО «Сургутнефтегаз» на территории Белоярского района осуществляет д</w:t>
      </w:r>
      <w:r w:rsidRPr="0095725E">
        <w:rPr>
          <w:bCs/>
          <w:szCs w:val="24"/>
        </w:rPr>
        <w:t>обычу нефти на Ватлорском и Сурьеганском лицензионных участках</w:t>
      </w:r>
      <w:r w:rsidRPr="0095725E">
        <w:rPr>
          <w:szCs w:val="24"/>
        </w:rPr>
        <w:t xml:space="preserve">. </w:t>
      </w:r>
    </w:p>
    <w:p w:rsidR="00B04D78" w:rsidRPr="004E146A" w:rsidRDefault="00B04D78" w:rsidP="002161C5">
      <w:pPr>
        <w:ind w:firstLine="567"/>
        <w:jc w:val="both"/>
        <w:rPr>
          <w:szCs w:val="24"/>
        </w:rPr>
      </w:pPr>
      <w:r w:rsidRPr="004E146A">
        <w:rPr>
          <w:szCs w:val="24"/>
        </w:rPr>
        <w:t xml:space="preserve">В </w:t>
      </w:r>
      <w:r>
        <w:rPr>
          <w:szCs w:val="24"/>
        </w:rPr>
        <w:t>2014 году</w:t>
      </w:r>
      <w:r w:rsidRPr="004E146A">
        <w:rPr>
          <w:szCs w:val="24"/>
        </w:rPr>
        <w:t xml:space="preserve"> проводятся работы по обустройству лицензионного участка ДНС-2 </w:t>
      </w:r>
      <w:r>
        <w:rPr>
          <w:szCs w:val="24"/>
        </w:rPr>
        <w:t>Верхнеказымского месторождения, в</w:t>
      </w:r>
      <w:r w:rsidRPr="004E146A">
        <w:rPr>
          <w:szCs w:val="24"/>
        </w:rPr>
        <w:t xml:space="preserve">едется строительство автомобильной дороги и мостовых переходов от ДНС-1 </w:t>
      </w:r>
      <w:proofErr w:type="spellStart"/>
      <w:r w:rsidRPr="004E146A">
        <w:rPr>
          <w:szCs w:val="24"/>
        </w:rPr>
        <w:t>Ватлорского</w:t>
      </w:r>
      <w:proofErr w:type="spellEnd"/>
      <w:r w:rsidRPr="004E146A">
        <w:rPr>
          <w:szCs w:val="24"/>
        </w:rPr>
        <w:t xml:space="preserve"> месторождения до ДНС-2 Логачевского месторождения. На мощную отсыпку более 40 км дороги и строительство мостовых переходов компания планирует инвестировать 7,8 млрд. рублей. В дальнейшем запланирована отсыпка новых кустовых площадок.</w:t>
      </w:r>
    </w:p>
    <w:p w:rsidR="00B04D78" w:rsidRPr="00A34D61" w:rsidRDefault="00B04D78" w:rsidP="002161C5">
      <w:pPr>
        <w:pStyle w:val="af0"/>
        <w:ind w:firstLine="567"/>
        <w:jc w:val="both"/>
      </w:pPr>
      <w:r w:rsidRPr="004E146A">
        <w:rPr>
          <w:b w:val="0"/>
          <w:sz w:val="24"/>
          <w:szCs w:val="24"/>
        </w:rPr>
        <w:t xml:space="preserve">В </w:t>
      </w:r>
      <w:r>
        <w:rPr>
          <w:b w:val="0"/>
          <w:sz w:val="24"/>
          <w:szCs w:val="24"/>
        </w:rPr>
        <w:t>2015-2017 годах</w:t>
      </w:r>
      <w:r w:rsidRPr="004E146A">
        <w:rPr>
          <w:b w:val="0"/>
          <w:sz w:val="24"/>
          <w:szCs w:val="24"/>
        </w:rPr>
        <w:t xml:space="preserve"> компания планирует увеличивать объемы добычи нефти в результате ввода в эксплуатацию новых нефтяных скважин на месторождении им. И.Н</w:t>
      </w:r>
      <w:r w:rsidRPr="00A34D61">
        <w:rPr>
          <w:b w:val="0"/>
          <w:sz w:val="24"/>
          <w:szCs w:val="24"/>
        </w:rPr>
        <w:t xml:space="preserve">. </w:t>
      </w:r>
      <w:proofErr w:type="spellStart"/>
      <w:r w:rsidRPr="00A34D61">
        <w:rPr>
          <w:b w:val="0"/>
          <w:sz w:val="24"/>
          <w:szCs w:val="24"/>
        </w:rPr>
        <w:t>Логачева</w:t>
      </w:r>
      <w:proofErr w:type="spellEnd"/>
      <w:r w:rsidRPr="00A34D61">
        <w:rPr>
          <w:b w:val="0"/>
          <w:sz w:val="24"/>
          <w:szCs w:val="24"/>
        </w:rPr>
        <w:t xml:space="preserve">, а также поисково-разведочных скважин на </w:t>
      </w:r>
      <w:proofErr w:type="spellStart"/>
      <w:r w:rsidRPr="00A34D61">
        <w:rPr>
          <w:b w:val="0"/>
          <w:sz w:val="24"/>
          <w:szCs w:val="24"/>
        </w:rPr>
        <w:t>Лунгорском</w:t>
      </w:r>
      <w:proofErr w:type="spellEnd"/>
      <w:r w:rsidRPr="00A34D61">
        <w:rPr>
          <w:b w:val="0"/>
          <w:sz w:val="24"/>
          <w:szCs w:val="24"/>
        </w:rPr>
        <w:t xml:space="preserve"> лицензионном участке.</w:t>
      </w:r>
    </w:p>
    <w:p w:rsidR="00B04D78" w:rsidRPr="00A34D61" w:rsidRDefault="00B04D78" w:rsidP="002161C5">
      <w:pPr>
        <w:ind w:firstLine="708"/>
        <w:jc w:val="both"/>
        <w:rPr>
          <w:szCs w:val="24"/>
        </w:rPr>
      </w:pPr>
      <w:r w:rsidRPr="00A34D61">
        <w:rPr>
          <w:szCs w:val="24"/>
        </w:rPr>
        <w:t xml:space="preserve">На долю ТПП «РИТЭКБелоярскнефть» ОАО «РИТЭК» за 2013 год, соответственно, приходится 29,6% общего объема добычи нефти на территории Белоярского района. Предприятие осуществляет свою деятельность в пределах 9 лицензионных участков: Кислорском, Сергинском, им. В.Н. Виноградова, Центральном, а также </w:t>
      </w:r>
      <w:proofErr w:type="gramStart"/>
      <w:r w:rsidRPr="00A34D61">
        <w:rPr>
          <w:szCs w:val="24"/>
        </w:rPr>
        <w:t>на</w:t>
      </w:r>
      <w:proofErr w:type="gramEnd"/>
      <w:r w:rsidRPr="00A34D61">
        <w:rPr>
          <w:szCs w:val="24"/>
        </w:rPr>
        <w:t xml:space="preserve"> Апрельском, </w:t>
      </w:r>
      <w:proofErr w:type="spellStart"/>
      <w:r w:rsidRPr="00A34D61">
        <w:rPr>
          <w:szCs w:val="24"/>
        </w:rPr>
        <w:t>Средне-Назымском</w:t>
      </w:r>
      <w:proofErr w:type="spellEnd"/>
      <w:r w:rsidRPr="00A34D61">
        <w:rPr>
          <w:szCs w:val="24"/>
        </w:rPr>
        <w:t xml:space="preserve">, </w:t>
      </w:r>
      <w:proofErr w:type="spellStart"/>
      <w:r w:rsidRPr="00A34D61">
        <w:rPr>
          <w:szCs w:val="24"/>
        </w:rPr>
        <w:t>Галяновском</w:t>
      </w:r>
      <w:proofErr w:type="spellEnd"/>
      <w:r w:rsidRPr="00A34D61">
        <w:rPr>
          <w:szCs w:val="24"/>
        </w:rPr>
        <w:t xml:space="preserve">, </w:t>
      </w:r>
      <w:proofErr w:type="spellStart"/>
      <w:r w:rsidRPr="00A34D61">
        <w:rPr>
          <w:szCs w:val="24"/>
        </w:rPr>
        <w:t>Средне-Хулымском</w:t>
      </w:r>
      <w:proofErr w:type="spellEnd"/>
      <w:r w:rsidRPr="00A34D61">
        <w:rPr>
          <w:szCs w:val="24"/>
        </w:rPr>
        <w:t xml:space="preserve"> и </w:t>
      </w:r>
      <w:proofErr w:type="spellStart"/>
      <w:r w:rsidRPr="00A34D61">
        <w:rPr>
          <w:szCs w:val="24"/>
        </w:rPr>
        <w:t>Сандибинском</w:t>
      </w:r>
      <w:proofErr w:type="spellEnd"/>
      <w:r w:rsidRPr="00A34D61">
        <w:rPr>
          <w:szCs w:val="24"/>
        </w:rPr>
        <w:t>.</w:t>
      </w:r>
      <w:r w:rsidR="00C37825">
        <w:rPr>
          <w:szCs w:val="24"/>
        </w:rPr>
        <w:t xml:space="preserve"> </w:t>
      </w:r>
      <w:r w:rsidRPr="00EF1D92">
        <w:rPr>
          <w:szCs w:val="24"/>
        </w:rPr>
        <w:t xml:space="preserve">Эти месторождения представлены </w:t>
      </w:r>
      <w:proofErr w:type="spellStart"/>
      <w:r w:rsidRPr="00EF1D92">
        <w:rPr>
          <w:szCs w:val="24"/>
        </w:rPr>
        <w:t>Баженовской</w:t>
      </w:r>
      <w:proofErr w:type="spellEnd"/>
      <w:r w:rsidRPr="00EF1D92">
        <w:rPr>
          <w:szCs w:val="24"/>
        </w:rPr>
        <w:t xml:space="preserve"> свитой. Разработкой таких залежей до недавнего времени никто не занимался, поскольку данные запасы, залегающие на территории всей Западной Сибири и оцененные по самым пессимистичным геологическим подсчетам в десятки миллиардов тонн, считались практически не извлекаемыми. </w:t>
      </w:r>
    </w:p>
    <w:p w:rsidR="00B04D78" w:rsidRDefault="00B04D78" w:rsidP="002161C5">
      <w:pPr>
        <w:ind w:firstLine="567"/>
        <w:jc w:val="both"/>
        <w:rPr>
          <w:szCs w:val="24"/>
        </w:rPr>
      </w:pPr>
      <w:r w:rsidRPr="00EF1D92">
        <w:rPr>
          <w:szCs w:val="24"/>
        </w:rPr>
        <w:t xml:space="preserve">Одно из перспективных направлений деятельности предприятия «РИТЭКБелоярскнефть» — освоение месторождения имени В.Н. Виноградова, извлекаемые запасы которого </w:t>
      </w:r>
      <w:r>
        <w:rPr>
          <w:szCs w:val="24"/>
        </w:rPr>
        <w:t>составляют 50-60 млн. тонн нефти</w:t>
      </w:r>
      <w:r w:rsidRPr="00EF1D92">
        <w:rPr>
          <w:szCs w:val="24"/>
        </w:rPr>
        <w:t xml:space="preserve">.  </w:t>
      </w:r>
    </w:p>
    <w:p w:rsidR="00B04D78" w:rsidRPr="00970B9A" w:rsidRDefault="00B04D78" w:rsidP="002161C5">
      <w:pPr>
        <w:ind w:firstLine="567"/>
        <w:jc w:val="both"/>
        <w:rPr>
          <w:szCs w:val="24"/>
        </w:rPr>
      </w:pPr>
      <w:r w:rsidRPr="00970B9A">
        <w:rPr>
          <w:szCs w:val="24"/>
        </w:rPr>
        <w:t xml:space="preserve">В период с 2012 по 2013 год в рамках Программы опытно-промышленных работ на кустовой площадке №1 были пробурены горизонтальные скважины с последующим проведением </w:t>
      </w:r>
      <w:proofErr w:type="gramStart"/>
      <w:r w:rsidRPr="00970B9A">
        <w:rPr>
          <w:szCs w:val="24"/>
        </w:rPr>
        <w:t>многозонного</w:t>
      </w:r>
      <w:proofErr w:type="gramEnd"/>
      <w:r w:rsidRPr="00970B9A">
        <w:rPr>
          <w:szCs w:val="24"/>
        </w:rPr>
        <w:t xml:space="preserve"> ГРП. </w:t>
      </w:r>
      <w:r>
        <w:rPr>
          <w:szCs w:val="24"/>
        </w:rPr>
        <w:t>Д</w:t>
      </w:r>
      <w:r w:rsidRPr="00970B9A">
        <w:rPr>
          <w:szCs w:val="24"/>
        </w:rPr>
        <w:t xml:space="preserve">ебиты пробуренных скважин составили от 50 до 60 тонн нефти в сутки, подтвердив </w:t>
      </w:r>
      <w:r>
        <w:rPr>
          <w:szCs w:val="24"/>
        </w:rPr>
        <w:t xml:space="preserve">высокую эффективность </w:t>
      </w:r>
      <w:r w:rsidRPr="00970B9A">
        <w:rPr>
          <w:szCs w:val="24"/>
        </w:rPr>
        <w:t>разработки.</w:t>
      </w:r>
    </w:p>
    <w:p w:rsidR="00B04D78" w:rsidRPr="001642ED" w:rsidRDefault="00B04D78" w:rsidP="002161C5">
      <w:pPr>
        <w:ind w:firstLine="567"/>
        <w:jc w:val="both"/>
        <w:rPr>
          <w:szCs w:val="24"/>
        </w:rPr>
      </w:pPr>
      <w:r>
        <w:rPr>
          <w:szCs w:val="24"/>
        </w:rPr>
        <w:t>В</w:t>
      </w:r>
      <w:r w:rsidRPr="00970B9A">
        <w:rPr>
          <w:szCs w:val="24"/>
        </w:rPr>
        <w:t xml:space="preserve"> июл</w:t>
      </w:r>
      <w:r>
        <w:rPr>
          <w:szCs w:val="24"/>
        </w:rPr>
        <w:t>е</w:t>
      </w:r>
      <w:r w:rsidRPr="00970B9A">
        <w:rPr>
          <w:szCs w:val="24"/>
        </w:rPr>
        <w:t xml:space="preserve"> 2014 года запущен в эксплуатацию межпромысловый нефтепровод, который соединил МБСНУ (Малогабаритная блочная сепарационно-наливная установка) месторождения им. B.Н. Виноградова с </w:t>
      </w:r>
      <w:r>
        <w:rPr>
          <w:szCs w:val="24"/>
        </w:rPr>
        <w:t>п</w:t>
      </w:r>
      <w:r w:rsidRPr="00970B9A">
        <w:rPr>
          <w:szCs w:val="24"/>
        </w:rPr>
        <w:t>ерекачивающ</w:t>
      </w:r>
      <w:r>
        <w:rPr>
          <w:szCs w:val="24"/>
        </w:rPr>
        <w:t>ей</w:t>
      </w:r>
      <w:r w:rsidRPr="00970B9A">
        <w:rPr>
          <w:szCs w:val="24"/>
        </w:rPr>
        <w:t xml:space="preserve"> насосн</w:t>
      </w:r>
      <w:r>
        <w:rPr>
          <w:szCs w:val="24"/>
        </w:rPr>
        <w:t>ой станцией</w:t>
      </w:r>
      <w:r w:rsidRPr="00970B9A">
        <w:rPr>
          <w:szCs w:val="24"/>
        </w:rPr>
        <w:t xml:space="preserve"> «Бобровская» ТПП «РИТЭКБелоярскнефть» ОАО «</w:t>
      </w:r>
      <w:r w:rsidRPr="001642ED">
        <w:rPr>
          <w:szCs w:val="24"/>
        </w:rPr>
        <w:t>РИТЭК».</w:t>
      </w:r>
    </w:p>
    <w:p w:rsidR="00B04D78" w:rsidRPr="001642ED" w:rsidRDefault="00B04D78" w:rsidP="002161C5">
      <w:pPr>
        <w:ind w:firstLine="708"/>
        <w:jc w:val="both"/>
        <w:rPr>
          <w:szCs w:val="24"/>
        </w:rPr>
      </w:pPr>
      <w:r w:rsidRPr="001642ED">
        <w:rPr>
          <w:szCs w:val="24"/>
        </w:rPr>
        <w:t xml:space="preserve">Сегодня на месторождении им. В.Н. Виноградова продолжается активное бурение. В 2014 году на месторождении запланировано пробурить 21 скважину. Ведутся работы по </w:t>
      </w:r>
      <w:r w:rsidRPr="001642ED">
        <w:rPr>
          <w:szCs w:val="24"/>
        </w:rPr>
        <w:lastRenderedPageBreak/>
        <w:t>отсыпке еще 10 кустовых площадок со сроком завершения в октябре 2014 года. С ноября 2014 года планируется приступить к отсыпке еще 31 площадки.</w:t>
      </w:r>
    </w:p>
    <w:p w:rsidR="00B04D78" w:rsidRPr="00970B9A" w:rsidRDefault="00B04D78" w:rsidP="002161C5">
      <w:pPr>
        <w:ind w:firstLine="567"/>
        <w:jc w:val="both"/>
        <w:rPr>
          <w:szCs w:val="24"/>
        </w:rPr>
      </w:pPr>
      <w:r w:rsidRPr="00970B9A">
        <w:rPr>
          <w:szCs w:val="24"/>
        </w:rPr>
        <w:t xml:space="preserve">В </w:t>
      </w:r>
      <w:r>
        <w:rPr>
          <w:szCs w:val="24"/>
        </w:rPr>
        <w:t>2014 году</w:t>
      </w:r>
      <w:r w:rsidRPr="00970B9A">
        <w:rPr>
          <w:szCs w:val="24"/>
        </w:rPr>
        <w:t xml:space="preserve"> планируется строительство установки подготовки нефти на месторождении с вводом в эксплуатацию в апреле 2015 года. В 2015 году РИТЭК приступит к строительству опорной базы. Уже возводятся </w:t>
      </w:r>
      <w:r w:rsidRPr="001642ED">
        <w:rPr>
          <w:szCs w:val="24"/>
        </w:rPr>
        <w:t>общежитие и хозяйственные блоки. Ведется большой объем проектно-изыскательских работ 105 смотровых площадок газотурбинных станций, которые планируется ввести в 2015 году.</w:t>
      </w:r>
    </w:p>
    <w:p w:rsidR="00B04D78" w:rsidRPr="00D056FC" w:rsidRDefault="00B04D78" w:rsidP="002161C5">
      <w:pPr>
        <w:ind w:firstLine="708"/>
        <w:jc w:val="both"/>
        <w:rPr>
          <w:color w:val="FF0000"/>
          <w:szCs w:val="24"/>
        </w:rPr>
      </w:pPr>
      <w:r w:rsidRPr="00D056FC">
        <w:rPr>
          <w:szCs w:val="24"/>
        </w:rPr>
        <w:t xml:space="preserve">В 2015-2017 годах </w:t>
      </w:r>
      <w:r>
        <w:rPr>
          <w:szCs w:val="24"/>
        </w:rPr>
        <w:t xml:space="preserve">на месторождении </w:t>
      </w:r>
      <w:r w:rsidRPr="00D056FC">
        <w:rPr>
          <w:szCs w:val="24"/>
        </w:rPr>
        <w:t xml:space="preserve">ожидается </w:t>
      </w:r>
      <w:r>
        <w:rPr>
          <w:szCs w:val="24"/>
        </w:rPr>
        <w:t>ввод</w:t>
      </w:r>
      <w:r w:rsidRPr="00D056FC">
        <w:rPr>
          <w:szCs w:val="24"/>
        </w:rPr>
        <w:t xml:space="preserve"> новых скважин: 79 скважин в 2015 году, 75 скважин в 2016 году и 71 скважина в 2017 году. Реализация инвестиционной программы ОАО «РИТЭК» с объемом капитальных вложений 26,3 миллиардов рублей до 2017 года позволит увеличить объёмы добычи нефти. Так, к 2016</w:t>
      </w:r>
      <w:r w:rsidRPr="001642ED">
        <w:rPr>
          <w:szCs w:val="24"/>
        </w:rPr>
        <w:t xml:space="preserve"> году производственный комплекс месторождения позволит добывать и транспортировать более 1 млн.</w:t>
      </w:r>
      <w:r w:rsidR="003C2D1A">
        <w:rPr>
          <w:szCs w:val="24"/>
        </w:rPr>
        <w:t xml:space="preserve"> </w:t>
      </w:r>
      <w:r w:rsidRPr="001642ED">
        <w:rPr>
          <w:szCs w:val="24"/>
        </w:rPr>
        <w:t>тонн нефти в год. Ожидается, что к</w:t>
      </w:r>
      <w:r>
        <w:rPr>
          <w:szCs w:val="24"/>
        </w:rPr>
        <w:t xml:space="preserve"> 2019 году </w:t>
      </w:r>
      <w:r w:rsidRPr="001642ED">
        <w:rPr>
          <w:szCs w:val="24"/>
        </w:rPr>
        <w:t>ТПП «РИТЭКБелоярскнефть» на месторождении им. В.Н. Виноградова выйдет на максимальный годовой уровень добычи нефти, который по предварительным расчетам превысит 1,9 млн. тонн.</w:t>
      </w:r>
    </w:p>
    <w:p w:rsidR="00B04D78" w:rsidRPr="00ED2B16" w:rsidRDefault="00B04D78" w:rsidP="002161C5">
      <w:pPr>
        <w:ind w:firstLine="708"/>
        <w:jc w:val="both"/>
        <w:rPr>
          <w:szCs w:val="24"/>
        </w:rPr>
      </w:pPr>
      <w:r w:rsidRPr="00493910">
        <w:rPr>
          <w:bCs/>
          <w:szCs w:val="24"/>
        </w:rPr>
        <w:t xml:space="preserve">По предварительной оценке в 2014 году на территории Белоярского района  ожидается рост добычи нефти до 1,055 млн. тонн нефти, что на 12,4% </w:t>
      </w:r>
      <w:r w:rsidRPr="00ED2B16">
        <w:rPr>
          <w:bCs/>
          <w:szCs w:val="24"/>
        </w:rPr>
        <w:t>больше, чем в           2013 году.</w:t>
      </w:r>
    </w:p>
    <w:p w:rsidR="00B04D78" w:rsidRPr="00ED2B16" w:rsidRDefault="00B04D78" w:rsidP="002161C5">
      <w:pPr>
        <w:ind w:firstLine="720"/>
        <w:jc w:val="right"/>
        <w:rPr>
          <w:szCs w:val="24"/>
        </w:rPr>
      </w:pPr>
    </w:p>
    <w:p w:rsidR="00B04D78" w:rsidRPr="00ED2B16" w:rsidRDefault="00B04D78" w:rsidP="002161C5">
      <w:pPr>
        <w:ind w:firstLine="720"/>
        <w:jc w:val="right"/>
        <w:rPr>
          <w:szCs w:val="24"/>
        </w:rPr>
      </w:pPr>
      <w:r w:rsidRPr="00ED2B16">
        <w:rPr>
          <w:szCs w:val="24"/>
        </w:rPr>
        <w:t xml:space="preserve">Диаграмма 3 </w:t>
      </w:r>
    </w:p>
    <w:p w:rsidR="00B04D78" w:rsidRPr="00ED2B16" w:rsidRDefault="00B04D78" w:rsidP="002161C5">
      <w:pPr>
        <w:rPr>
          <w:szCs w:val="24"/>
        </w:rPr>
      </w:pPr>
      <w:r w:rsidRPr="00ED2B16">
        <w:rPr>
          <w:noProof/>
          <w:szCs w:val="24"/>
        </w:rPr>
        <w:drawing>
          <wp:inline distT="0" distB="0" distL="0" distR="0">
            <wp:extent cx="5940425" cy="2924175"/>
            <wp:effectExtent l="19050" t="0" r="22225" b="0"/>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04D78" w:rsidRPr="00ED2B16" w:rsidRDefault="00B04D78" w:rsidP="002161C5">
      <w:pPr>
        <w:rPr>
          <w:szCs w:val="24"/>
        </w:rPr>
      </w:pPr>
    </w:p>
    <w:p w:rsidR="00B04D78" w:rsidRPr="008B725F" w:rsidRDefault="00B04D78" w:rsidP="002161C5">
      <w:pPr>
        <w:ind w:firstLine="720"/>
        <w:jc w:val="both"/>
        <w:rPr>
          <w:szCs w:val="24"/>
        </w:rPr>
      </w:pPr>
      <w:r w:rsidRPr="00ED2B16">
        <w:rPr>
          <w:szCs w:val="24"/>
        </w:rPr>
        <w:t xml:space="preserve">В прогнозном периоде 2015-2017 годов увеличение объемов добычи нефти планируется на уровне: 129-170%. При этом, к 2017 году объем добычи нефти на </w:t>
      </w:r>
      <w:r w:rsidRPr="008B725F">
        <w:rPr>
          <w:szCs w:val="24"/>
        </w:rPr>
        <w:t xml:space="preserve">территории Белоярского района должен составить 3 053,0 тыс. тонн. </w:t>
      </w:r>
    </w:p>
    <w:p w:rsidR="00B04D78" w:rsidRPr="008B725F" w:rsidRDefault="00B04D78" w:rsidP="002161C5">
      <w:pPr>
        <w:ind w:firstLine="708"/>
        <w:jc w:val="both"/>
        <w:rPr>
          <w:szCs w:val="24"/>
        </w:rPr>
      </w:pPr>
      <w:r w:rsidRPr="008B725F">
        <w:rPr>
          <w:szCs w:val="24"/>
        </w:rPr>
        <w:t>Ежегодно в рамках социального партнерства между администрацией Белоярского района и предприятиями ТЭК заключаются соглашения о социально-экономическом сотрудничестве.  По реализации  заключенных соглашений с ОАО «Сургутнефтегаз», ООО «ЛУКОЙЛ – Западная Сибирь» в 2013 году в бюджет Белоярского района поступило 27,3 млн. руб.</w:t>
      </w:r>
    </w:p>
    <w:p w:rsidR="00B04D78" w:rsidRPr="00ED2B16" w:rsidRDefault="00B04D78" w:rsidP="002161C5">
      <w:pPr>
        <w:ind w:firstLine="851"/>
        <w:jc w:val="both"/>
        <w:rPr>
          <w:szCs w:val="24"/>
        </w:rPr>
      </w:pPr>
      <w:r w:rsidRPr="008B725F">
        <w:rPr>
          <w:szCs w:val="24"/>
        </w:rPr>
        <w:t xml:space="preserve">В рамках соглашения с ОАО «Сургутнефтегаз» компанией для коренного населения деревень ежегодно предоставляются полетные  часы для вывоза рыбы и дикоросов, автотранспорт для доставки продуктов питания и товаров первой необходимости, осуществляется поставка ГСМ, материально-технических средств. В 2013 году построено 5 жилых домов и завезено здание фельдшерско-акушерского пункта в </w:t>
      </w:r>
      <w:proofErr w:type="spellStart"/>
      <w:r w:rsidRPr="008B725F">
        <w:rPr>
          <w:szCs w:val="24"/>
        </w:rPr>
        <w:t>д</w:t>
      </w:r>
      <w:proofErr w:type="gramStart"/>
      <w:r w:rsidRPr="008B725F">
        <w:rPr>
          <w:szCs w:val="24"/>
        </w:rPr>
        <w:t>.Н</w:t>
      </w:r>
      <w:proofErr w:type="gramEnd"/>
      <w:r w:rsidRPr="008B725F">
        <w:rPr>
          <w:szCs w:val="24"/>
        </w:rPr>
        <w:t>умто</w:t>
      </w:r>
      <w:proofErr w:type="spellEnd"/>
      <w:r w:rsidRPr="008B725F">
        <w:rPr>
          <w:szCs w:val="24"/>
        </w:rPr>
        <w:t xml:space="preserve">, построено 2 двухквартирных жилых дома в с.Ванзеват, построен и введен в эксплуатацию фельдшерско-акушерский пункт в </w:t>
      </w:r>
      <w:proofErr w:type="spellStart"/>
      <w:r w:rsidRPr="008B725F">
        <w:rPr>
          <w:szCs w:val="24"/>
        </w:rPr>
        <w:t>д.Пашторы</w:t>
      </w:r>
      <w:proofErr w:type="spellEnd"/>
      <w:r w:rsidRPr="008B725F">
        <w:rPr>
          <w:szCs w:val="24"/>
        </w:rPr>
        <w:t xml:space="preserve">. По  Соглашению с ОАО </w:t>
      </w:r>
      <w:r w:rsidRPr="008B725F">
        <w:rPr>
          <w:szCs w:val="24"/>
        </w:rPr>
        <w:lastRenderedPageBreak/>
        <w:t>«Сургутнефтегаз» трудоустроен 41 человек из числа жителей района (из них 14 граждан из числа коренных малочисленных народов Севера).</w:t>
      </w:r>
    </w:p>
    <w:p w:rsidR="00B04D78" w:rsidRPr="00ED2B16" w:rsidRDefault="00B04D78" w:rsidP="002161C5">
      <w:pPr>
        <w:ind w:firstLine="851"/>
        <w:jc w:val="both"/>
        <w:rPr>
          <w:szCs w:val="24"/>
        </w:rPr>
      </w:pPr>
      <w:r w:rsidRPr="00ED2B16">
        <w:rPr>
          <w:szCs w:val="24"/>
        </w:rPr>
        <w:t xml:space="preserve">С 2014 года структура сферы добычи полезных ископаемых, помимо нефтедобывающей отрасли, также включает в себя </w:t>
      </w:r>
      <w:r w:rsidRPr="00ED2B16">
        <w:rPr>
          <w:b/>
          <w:szCs w:val="24"/>
        </w:rPr>
        <w:t>отрасль добычи гравия, песка и глины</w:t>
      </w:r>
      <w:r w:rsidRPr="00ED2B16">
        <w:rPr>
          <w:szCs w:val="24"/>
        </w:rPr>
        <w:t>. В оценке 2014 года объем отгруженных товаров собственного производства, выполненных работ и услуг собственными силами (покрупным и средним) производителей промышленной продукции по данному виду добычи полезных ископаемых составит 6,645 млн. рублей.</w:t>
      </w:r>
    </w:p>
    <w:p w:rsidR="00B04D78" w:rsidRPr="00ED2B16" w:rsidRDefault="00B04D78" w:rsidP="002161C5">
      <w:pPr>
        <w:ind w:firstLine="851"/>
        <w:jc w:val="both"/>
        <w:rPr>
          <w:szCs w:val="24"/>
        </w:rPr>
      </w:pPr>
      <w:r w:rsidRPr="00ED2B16">
        <w:rPr>
          <w:szCs w:val="24"/>
        </w:rPr>
        <w:t xml:space="preserve">Добычу гравия, песка и глины на территории района осуществляет унитарное муниципальное предприятие «Управление производственно-технической комплектации».  В 2014 году предприятием начата разработка гравийных и песчаных карьеров. Добыча песка осуществляется для собственных строительных нужд, для выполнения работ по благоустройству города, а также для продажи предприятиям Белоярского района. </w:t>
      </w:r>
    </w:p>
    <w:p w:rsidR="00B04D78" w:rsidRPr="00F1088B" w:rsidRDefault="00B04D78" w:rsidP="002161C5">
      <w:pPr>
        <w:ind w:firstLine="851"/>
        <w:jc w:val="both"/>
        <w:rPr>
          <w:color w:val="FF0000"/>
          <w:szCs w:val="24"/>
        </w:rPr>
      </w:pPr>
    </w:p>
    <w:p w:rsidR="00B04D78" w:rsidRPr="00B813EC" w:rsidRDefault="00B04D78" w:rsidP="00003EDF">
      <w:pPr>
        <w:ind w:firstLine="709"/>
        <w:rPr>
          <w:b/>
          <w:i/>
          <w:szCs w:val="24"/>
        </w:rPr>
      </w:pPr>
      <w:r w:rsidRPr="00B813EC">
        <w:rPr>
          <w:b/>
          <w:i/>
          <w:szCs w:val="24"/>
        </w:rPr>
        <w:t>Сфера обрабатывающих производств</w:t>
      </w:r>
    </w:p>
    <w:p w:rsidR="00B04D78" w:rsidRPr="00DD02CE" w:rsidRDefault="00B04D78" w:rsidP="002161C5">
      <w:pPr>
        <w:ind w:firstLine="720"/>
        <w:jc w:val="both"/>
        <w:rPr>
          <w:szCs w:val="24"/>
        </w:rPr>
      </w:pPr>
      <w:r w:rsidRPr="00DD02CE">
        <w:rPr>
          <w:szCs w:val="24"/>
        </w:rPr>
        <w:t xml:space="preserve">Предприятия обрабатывающих производств: пищевой, полиграфической,  ремонта оборудования и других сфер деятельности имеют немаловажное значение для жизнеобеспечения района. </w:t>
      </w:r>
    </w:p>
    <w:p w:rsidR="00B04D78" w:rsidRPr="00DD02CE" w:rsidRDefault="00B04D78" w:rsidP="002161C5">
      <w:pPr>
        <w:ind w:firstLine="709"/>
        <w:jc w:val="both"/>
        <w:rPr>
          <w:szCs w:val="24"/>
        </w:rPr>
      </w:pPr>
      <w:r w:rsidRPr="00DD02CE">
        <w:rPr>
          <w:szCs w:val="24"/>
        </w:rPr>
        <w:t xml:space="preserve">В 2014 году объем отгруженных товаров собственного производства, выполненных работ и услуг собственными силами </w:t>
      </w:r>
      <w:r w:rsidRPr="00DD02CE">
        <w:rPr>
          <w:b/>
          <w:szCs w:val="24"/>
        </w:rPr>
        <w:t>обрабатывающих производств</w:t>
      </w:r>
      <w:r w:rsidRPr="00DD02CE">
        <w:rPr>
          <w:szCs w:val="24"/>
        </w:rPr>
        <w:t xml:space="preserve"> по предварительной оценке составит 1 639,5 млн. рублей. Индекс производства составит 90,1%, при индексе-дефляторе обрабатывающего производства 104,9%. </w:t>
      </w:r>
    </w:p>
    <w:p w:rsidR="00B04D78" w:rsidRPr="00B813EC" w:rsidRDefault="00B04D78" w:rsidP="002161C5">
      <w:pPr>
        <w:ind w:firstLine="720"/>
        <w:jc w:val="both"/>
        <w:rPr>
          <w:b/>
          <w:szCs w:val="24"/>
        </w:rPr>
      </w:pPr>
      <w:r w:rsidRPr="00B813EC">
        <w:rPr>
          <w:szCs w:val="24"/>
        </w:rPr>
        <w:t xml:space="preserve">Наибольший удельный вес в обрабатывающем производстве в оценке 2014 года по-прежнему будет приходиться на </w:t>
      </w:r>
      <w:r w:rsidRPr="00B813EC">
        <w:rPr>
          <w:b/>
          <w:szCs w:val="24"/>
        </w:rPr>
        <w:t>производство машин и оборудования без производства оружия и боеприпасов (94,0%).</w:t>
      </w:r>
    </w:p>
    <w:p w:rsidR="00B04D78" w:rsidRPr="00B813EC" w:rsidRDefault="00B04D78" w:rsidP="002161C5">
      <w:pPr>
        <w:ind w:firstLine="720"/>
        <w:jc w:val="right"/>
        <w:rPr>
          <w:szCs w:val="24"/>
        </w:rPr>
      </w:pPr>
    </w:p>
    <w:p w:rsidR="00B04D78" w:rsidRPr="00B813EC" w:rsidRDefault="00B04D78" w:rsidP="002161C5">
      <w:pPr>
        <w:ind w:firstLine="720"/>
        <w:jc w:val="right"/>
        <w:rPr>
          <w:szCs w:val="24"/>
        </w:rPr>
      </w:pPr>
      <w:r w:rsidRPr="00B813EC">
        <w:rPr>
          <w:szCs w:val="24"/>
        </w:rPr>
        <w:t xml:space="preserve"> Диаграмма 4</w:t>
      </w:r>
    </w:p>
    <w:p w:rsidR="00B04D78" w:rsidRPr="00F1088B" w:rsidRDefault="00B04D78" w:rsidP="002161C5">
      <w:pPr>
        <w:jc w:val="both"/>
        <w:rPr>
          <w:color w:val="FF0000"/>
          <w:szCs w:val="24"/>
        </w:rPr>
      </w:pPr>
      <w:r w:rsidRPr="00B813EC">
        <w:rPr>
          <w:noProof/>
          <w:color w:val="FF0000"/>
          <w:szCs w:val="24"/>
        </w:rPr>
        <w:drawing>
          <wp:inline distT="0" distB="0" distL="0" distR="0">
            <wp:extent cx="5940425" cy="2743200"/>
            <wp:effectExtent l="19050" t="0" r="22225" b="0"/>
            <wp:docPr id="1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04D78" w:rsidRPr="00F1088B" w:rsidRDefault="00B04D78" w:rsidP="002161C5">
      <w:pPr>
        <w:jc w:val="both"/>
        <w:rPr>
          <w:color w:val="FF0000"/>
          <w:szCs w:val="24"/>
        </w:rPr>
      </w:pPr>
    </w:p>
    <w:p w:rsidR="00B04D78" w:rsidRPr="00B813EC" w:rsidRDefault="00B04D78" w:rsidP="002161C5">
      <w:pPr>
        <w:ind w:firstLine="709"/>
        <w:jc w:val="both"/>
        <w:rPr>
          <w:szCs w:val="24"/>
        </w:rPr>
      </w:pPr>
      <w:r w:rsidRPr="00B813EC">
        <w:rPr>
          <w:szCs w:val="24"/>
        </w:rPr>
        <w:t xml:space="preserve">Деятельность по данному виду производства на территории района представляет производственно-техническое управление «Казымгазремонт» филиал «Югорский»    ДОАО «Центрэнергогаз». Основная деятельность заключается в ремонте и наладке </w:t>
      </w:r>
      <w:proofErr w:type="spellStart"/>
      <w:r w:rsidRPr="00B813EC">
        <w:rPr>
          <w:szCs w:val="24"/>
        </w:rPr>
        <w:t>энергомеханического</w:t>
      </w:r>
      <w:proofErr w:type="spellEnd"/>
      <w:r w:rsidRPr="00B813EC">
        <w:rPr>
          <w:szCs w:val="24"/>
        </w:rPr>
        <w:t xml:space="preserve"> оборуд</w:t>
      </w:r>
      <w:r w:rsidR="00337184">
        <w:rPr>
          <w:szCs w:val="24"/>
        </w:rPr>
        <w:t xml:space="preserve">ования в городе </w:t>
      </w:r>
      <w:proofErr w:type="gramStart"/>
      <w:r w:rsidR="00337184">
        <w:rPr>
          <w:szCs w:val="24"/>
        </w:rPr>
        <w:t>Белоярский</w:t>
      </w:r>
      <w:proofErr w:type="gramEnd"/>
      <w:r w:rsidRPr="00B813EC">
        <w:rPr>
          <w:szCs w:val="24"/>
        </w:rPr>
        <w:t xml:space="preserve"> и в трассовых поселках Белоярского района.</w:t>
      </w:r>
    </w:p>
    <w:p w:rsidR="00B04D78" w:rsidRPr="00B813EC" w:rsidRDefault="00B04D78" w:rsidP="002161C5">
      <w:pPr>
        <w:ind w:firstLine="709"/>
        <w:jc w:val="both"/>
        <w:rPr>
          <w:szCs w:val="24"/>
        </w:rPr>
      </w:pPr>
      <w:r w:rsidRPr="00B813EC">
        <w:rPr>
          <w:b/>
          <w:szCs w:val="24"/>
        </w:rPr>
        <w:t>Производство пищевых продуктов</w:t>
      </w:r>
      <w:r w:rsidR="009B18F6">
        <w:rPr>
          <w:b/>
          <w:szCs w:val="24"/>
        </w:rPr>
        <w:t xml:space="preserve"> </w:t>
      </w:r>
      <w:r w:rsidRPr="00B813EC">
        <w:rPr>
          <w:b/>
          <w:szCs w:val="24"/>
        </w:rPr>
        <w:t>занимает 5,2%</w:t>
      </w:r>
      <w:r w:rsidRPr="00B813EC">
        <w:rPr>
          <w:szCs w:val="24"/>
        </w:rPr>
        <w:t xml:space="preserve"> в сфере обрабатывающих производств. На территории Белоярского района им занимаются торговые, сельскохозяйственные предприятия и представители малого предпринимательства. Основными из них являются ООО СП «Белоярское» (производство мяса и пищевых </w:t>
      </w:r>
      <w:r w:rsidRPr="00B813EC">
        <w:rPr>
          <w:szCs w:val="24"/>
        </w:rPr>
        <w:lastRenderedPageBreak/>
        <w:t>субпродуктов крупного рогатого скота, сыров, молока, творога), УМП «Городской центр торговли» (производство хлеба и хлебобулочных изделий), филиал «</w:t>
      </w:r>
      <w:proofErr w:type="spellStart"/>
      <w:r w:rsidRPr="00B813EC">
        <w:rPr>
          <w:szCs w:val="24"/>
        </w:rPr>
        <w:t>Белоярскгазторг</w:t>
      </w:r>
      <w:proofErr w:type="spellEnd"/>
      <w:r w:rsidRPr="00B813EC">
        <w:rPr>
          <w:szCs w:val="24"/>
        </w:rPr>
        <w:t>» ООО «</w:t>
      </w:r>
      <w:proofErr w:type="spellStart"/>
      <w:r w:rsidRPr="00B813EC">
        <w:rPr>
          <w:szCs w:val="24"/>
        </w:rPr>
        <w:t>Запсибгазторг</w:t>
      </w:r>
      <w:proofErr w:type="spellEnd"/>
      <w:r w:rsidRPr="00B813EC">
        <w:rPr>
          <w:szCs w:val="24"/>
        </w:rPr>
        <w:t xml:space="preserve">» (производство хлеба и хлебобулочных изделий).  </w:t>
      </w:r>
    </w:p>
    <w:p w:rsidR="00B04D78" w:rsidRPr="00B813EC" w:rsidRDefault="00B04D78" w:rsidP="002161C5">
      <w:pPr>
        <w:ind w:firstLine="709"/>
        <w:jc w:val="both"/>
        <w:rPr>
          <w:szCs w:val="24"/>
        </w:rPr>
      </w:pPr>
      <w:r w:rsidRPr="00B813EC">
        <w:rPr>
          <w:szCs w:val="24"/>
        </w:rPr>
        <w:t>В прогнозируемом 2015 году объем производства пищевых продуктов, включая напитки, и табака составит в действующих ценах по первому варианту  92,2 млн. рублей, индекс производства – 99,9% к уровню оценочного 2014 года. В прогнозе на 2016-2017 годы индекс производства закладывается на уровне 100,3% – 100,5% .</w:t>
      </w:r>
    </w:p>
    <w:p w:rsidR="00B04D78" w:rsidRPr="00B813EC" w:rsidRDefault="00F53FFD" w:rsidP="00F53FFD">
      <w:pPr>
        <w:ind w:firstLine="720"/>
        <w:jc w:val="both"/>
        <w:rPr>
          <w:szCs w:val="24"/>
        </w:rPr>
      </w:pPr>
      <w:r w:rsidRPr="008B725F">
        <w:rPr>
          <w:szCs w:val="24"/>
        </w:rPr>
        <w:t>В с</w:t>
      </w:r>
      <w:r w:rsidR="003C2D1A" w:rsidRPr="008B725F">
        <w:rPr>
          <w:szCs w:val="24"/>
        </w:rPr>
        <w:t>фер</w:t>
      </w:r>
      <w:r w:rsidRPr="008B725F">
        <w:rPr>
          <w:szCs w:val="24"/>
        </w:rPr>
        <w:t>е</w:t>
      </w:r>
      <w:r w:rsidR="00B04D78" w:rsidRPr="008B725F">
        <w:rPr>
          <w:szCs w:val="24"/>
        </w:rPr>
        <w:t xml:space="preserve"> </w:t>
      </w:r>
      <w:r w:rsidR="00B04D78" w:rsidRPr="008B725F">
        <w:rPr>
          <w:b/>
          <w:szCs w:val="24"/>
        </w:rPr>
        <w:t>деревообрабатывающей промышленности</w:t>
      </w:r>
      <w:r w:rsidR="003C2D1A" w:rsidRPr="008B725F">
        <w:rPr>
          <w:szCs w:val="24"/>
        </w:rPr>
        <w:t xml:space="preserve"> </w:t>
      </w:r>
      <w:r w:rsidRPr="008B725F">
        <w:rPr>
          <w:szCs w:val="24"/>
        </w:rPr>
        <w:t>осуществляют свою деятельность</w:t>
      </w:r>
      <w:r w:rsidR="003C2D1A" w:rsidRPr="008B725F">
        <w:rPr>
          <w:szCs w:val="24"/>
        </w:rPr>
        <w:t xml:space="preserve"> </w:t>
      </w:r>
      <w:r w:rsidR="00B04D78" w:rsidRPr="008B725F">
        <w:rPr>
          <w:szCs w:val="24"/>
        </w:rPr>
        <w:t>ООО «</w:t>
      </w:r>
      <w:proofErr w:type="spellStart"/>
      <w:r w:rsidR="00B04D78" w:rsidRPr="008B725F">
        <w:rPr>
          <w:szCs w:val="24"/>
        </w:rPr>
        <w:t>ПриоЭкоЛес</w:t>
      </w:r>
      <w:proofErr w:type="spellEnd"/>
      <w:r w:rsidR="00B04D78" w:rsidRPr="008B725F">
        <w:rPr>
          <w:szCs w:val="24"/>
        </w:rPr>
        <w:t>»</w:t>
      </w:r>
      <w:r w:rsidRPr="008B725F">
        <w:rPr>
          <w:szCs w:val="24"/>
        </w:rPr>
        <w:t>, ОАО «</w:t>
      </w:r>
      <w:proofErr w:type="spellStart"/>
      <w:r w:rsidRPr="008B725F">
        <w:rPr>
          <w:szCs w:val="24"/>
        </w:rPr>
        <w:t>Казымская</w:t>
      </w:r>
      <w:proofErr w:type="spellEnd"/>
      <w:r w:rsidRPr="008B725F">
        <w:rPr>
          <w:szCs w:val="24"/>
        </w:rPr>
        <w:t xml:space="preserve"> оленеводческая компания», </w:t>
      </w:r>
      <w:r w:rsidR="000D1D5A" w:rsidRPr="008B725F">
        <w:rPr>
          <w:szCs w:val="24"/>
        </w:rPr>
        <w:t>государственное предприяти</w:t>
      </w:r>
      <w:r w:rsidRPr="008B725F">
        <w:rPr>
          <w:szCs w:val="24"/>
        </w:rPr>
        <w:t>е Ханты-Манси</w:t>
      </w:r>
      <w:r w:rsidR="000D1D5A" w:rsidRPr="008B725F">
        <w:rPr>
          <w:szCs w:val="24"/>
        </w:rPr>
        <w:t>йского автономного округа – Югры  «</w:t>
      </w:r>
      <w:proofErr w:type="spellStart"/>
      <w:r w:rsidR="000D1D5A" w:rsidRPr="008B725F">
        <w:rPr>
          <w:szCs w:val="24"/>
        </w:rPr>
        <w:t>Лесосервисная</w:t>
      </w:r>
      <w:proofErr w:type="spellEnd"/>
      <w:r w:rsidR="000D1D5A" w:rsidRPr="008B725F">
        <w:rPr>
          <w:szCs w:val="24"/>
        </w:rPr>
        <w:t xml:space="preserve"> компания </w:t>
      </w:r>
      <w:proofErr w:type="spellStart"/>
      <w:r w:rsidR="000D1D5A" w:rsidRPr="008B725F">
        <w:rPr>
          <w:szCs w:val="24"/>
        </w:rPr>
        <w:t>Югралесхоз</w:t>
      </w:r>
      <w:proofErr w:type="spellEnd"/>
      <w:r w:rsidRPr="008B725F">
        <w:rPr>
          <w:szCs w:val="24"/>
        </w:rPr>
        <w:t>»</w:t>
      </w:r>
      <w:r w:rsidR="000D1D5A" w:rsidRPr="008B725F">
        <w:rPr>
          <w:szCs w:val="24"/>
        </w:rPr>
        <w:t xml:space="preserve"> Белоярский филиал</w:t>
      </w:r>
      <w:r w:rsidRPr="008B725F">
        <w:rPr>
          <w:szCs w:val="24"/>
        </w:rPr>
        <w:t>.</w:t>
      </w:r>
      <w:r w:rsidR="00B04D78" w:rsidRPr="008B725F">
        <w:rPr>
          <w:szCs w:val="24"/>
        </w:rPr>
        <w:t xml:space="preserve"> </w:t>
      </w:r>
      <w:r w:rsidRPr="008B725F">
        <w:rPr>
          <w:szCs w:val="24"/>
        </w:rPr>
        <w:t xml:space="preserve">По предварительным данным в 2014 году объем деревообрабатывающего производства составит </w:t>
      </w:r>
      <w:r w:rsidR="00BF05CF" w:rsidRPr="008B725F">
        <w:rPr>
          <w:szCs w:val="24"/>
        </w:rPr>
        <w:t>0,51 млн. рублей (102,8% в сопоставимых ценах к уровню 2013 года). В прогнозируемых 2015-2017 годах индекс производства составит 101,1%-102,7%.</w:t>
      </w:r>
    </w:p>
    <w:p w:rsidR="00B04D78" w:rsidRPr="00B813EC" w:rsidRDefault="00B04D78" w:rsidP="002161C5">
      <w:pPr>
        <w:ind w:firstLine="720"/>
        <w:jc w:val="both"/>
        <w:rPr>
          <w:szCs w:val="24"/>
        </w:rPr>
      </w:pPr>
      <w:r w:rsidRPr="00B813EC">
        <w:rPr>
          <w:szCs w:val="24"/>
        </w:rPr>
        <w:t xml:space="preserve">Сферу </w:t>
      </w:r>
      <w:r w:rsidRPr="00B813EC">
        <w:rPr>
          <w:b/>
          <w:szCs w:val="24"/>
        </w:rPr>
        <w:t>издательской и полиграфической деятельности</w:t>
      </w:r>
      <w:r w:rsidRPr="00B813EC">
        <w:rPr>
          <w:szCs w:val="24"/>
        </w:rPr>
        <w:t xml:space="preserve"> представляет автономное учреждение Белоярского района «Белоярский информационный центр «Квадрат». В     2014 году ожидаемый объем производства составит 3,2 млн. рублей (или 106,5% к уровню 2013 года), в прогнозных 2015-2017 годах индекс производства закладывается на уровне 100,1% – 102,2%</w:t>
      </w:r>
    </w:p>
    <w:p w:rsidR="00B04D78" w:rsidRPr="00B813EC" w:rsidRDefault="00B04D78" w:rsidP="002161C5">
      <w:pPr>
        <w:ind w:firstLine="720"/>
        <w:jc w:val="both"/>
        <w:rPr>
          <w:szCs w:val="24"/>
        </w:rPr>
      </w:pPr>
      <w:r w:rsidRPr="00B813EC">
        <w:rPr>
          <w:szCs w:val="24"/>
        </w:rPr>
        <w:t xml:space="preserve">Сферу </w:t>
      </w:r>
      <w:r w:rsidRPr="00B813EC">
        <w:rPr>
          <w:b/>
          <w:szCs w:val="24"/>
        </w:rPr>
        <w:t>производства прочих неметаллических продуктов</w:t>
      </w:r>
      <w:r w:rsidRPr="00B813EC">
        <w:rPr>
          <w:szCs w:val="24"/>
        </w:rPr>
        <w:t xml:space="preserve"> представляют унитарное муниципальное предприятие «Управление производственно – технической комплектации» (производство тротуарной плитки, бордюрных камней, кирпича и прочих строительных материалов), предприниматель </w:t>
      </w:r>
      <w:proofErr w:type="spellStart"/>
      <w:r w:rsidRPr="00B813EC">
        <w:rPr>
          <w:szCs w:val="24"/>
        </w:rPr>
        <w:t>Курзанова</w:t>
      </w:r>
      <w:proofErr w:type="spellEnd"/>
      <w:r w:rsidRPr="00B813EC">
        <w:rPr>
          <w:szCs w:val="24"/>
        </w:rPr>
        <w:t xml:space="preserve"> С.А. (производство тротуарной плитки), а также ООО Строительный холдинг «Север-Строй-Инвест» (производство пенобетона, ЖБИ, фундаментные блоки, сваи).</w:t>
      </w:r>
    </w:p>
    <w:p w:rsidR="00B04D78" w:rsidRDefault="00B04D78" w:rsidP="002161C5">
      <w:pPr>
        <w:ind w:firstLine="709"/>
        <w:jc w:val="both"/>
        <w:rPr>
          <w:szCs w:val="24"/>
        </w:rPr>
      </w:pPr>
      <w:r w:rsidRPr="00B813EC">
        <w:rPr>
          <w:szCs w:val="24"/>
        </w:rPr>
        <w:t xml:space="preserve"> Выполнение работ в данной сфере связано с благоустройством города, трассовых поселков, национальных сел и деревень в границах Белоярского района. В прогнозе на 2015 год показатель объема промышленного производства прочих неметаллических продуктов по первому варианту составит 7,52 млн. рублей, индекс производства – 100,2% по отношению к 2014 году. </w:t>
      </w:r>
    </w:p>
    <w:p w:rsidR="00B04D78" w:rsidRPr="00DD02CE" w:rsidRDefault="00B04D78" w:rsidP="002161C5">
      <w:pPr>
        <w:ind w:firstLine="720"/>
        <w:jc w:val="both"/>
        <w:rPr>
          <w:szCs w:val="24"/>
        </w:rPr>
      </w:pPr>
      <w:r>
        <w:rPr>
          <w:szCs w:val="24"/>
        </w:rPr>
        <w:t xml:space="preserve">В 2014 году структура обрабатывающих производств дополнена новым видом экономической деятельности – </w:t>
      </w:r>
      <w:r w:rsidRPr="00E66C0D">
        <w:rPr>
          <w:b/>
          <w:szCs w:val="24"/>
        </w:rPr>
        <w:t xml:space="preserve">производство </w:t>
      </w:r>
      <w:r>
        <w:rPr>
          <w:b/>
          <w:szCs w:val="24"/>
        </w:rPr>
        <w:t>сред</w:t>
      </w:r>
      <w:r w:rsidRPr="00E66C0D">
        <w:rPr>
          <w:b/>
          <w:szCs w:val="24"/>
        </w:rPr>
        <w:t>ств измерений, контроля, управления и испытаний</w:t>
      </w:r>
      <w:r>
        <w:rPr>
          <w:b/>
          <w:szCs w:val="24"/>
        </w:rPr>
        <w:t xml:space="preserve">. </w:t>
      </w:r>
      <w:r>
        <w:rPr>
          <w:szCs w:val="24"/>
        </w:rPr>
        <w:t xml:space="preserve">В данном направлении на территории Белоярского района осуществляет свою деятельность Уральское ТПУ ООО «Системный интегратор». Компания предоставляет услуги по монтажу, техническому обслуживанию и ремонту приборов и </w:t>
      </w:r>
      <w:r w:rsidRPr="00DD02CE">
        <w:rPr>
          <w:szCs w:val="24"/>
        </w:rPr>
        <w:t>инструментов для измерений, контроля, испытаний, навигации, управления и прочих целей.</w:t>
      </w:r>
    </w:p>
    <w:p w:rsidR="00B04D78" w:rsidRPr="00DD02CE" w:rsidRDefault="00B04D78" w:rsidP="002161C5">
      <w:pPr>
        <w:ind w:firstLine="720"/>
        <w:jc w:val="both"/>
        <w:rPr>
          <w:szCs w:val="24"/>
        </w:rPr>
      </w:pPr>
      <w:proofErr w:type="gramStart"/>
      <w:r w:rsidRPr="00DD02CE">
        <w:rPr>
          <w:b/>
          <w:szCs w:val="24"/>
        </w:rPr>
        <w:t>В прогнозных 2015-2017 годах объемы промышленной продукции обрабатывающих производств</w:t>
      </w:r>
      <w:r w:rsidRPr="00DD02CE">
        <w:rPr>
          <w:szCs w:val="24"/>
        </w:rPr>
        <w:t xml:space="preserve"> составят в действующих ценах по первому варианту:                 в 2015 году – 1 751,9 млн. рублей при индексе производства 100,0% в сопоставимых ценах к уровню 2014 года; в 2016 году – 1 860,5 млн. рублей при индексе производства 101,2% в сопоставимых ценах к уровню 2015 года;</w:t>
      </w:r>
      <w:proofErr w:type="gramEnd"/>
      <w:r w:rsidRPr="00DD02CE">
        <w:rPr>
          <w:szCs w:val="24"/>
        </w:rPr>
        <w:t xml:space="preserve"> в 2017 году – 1 982,4 млн. рублей при индексе производства 101,6% в сопоставимых ценах к уровню 2016 года. </w:t>
      </w:r>
    </w:p>
    <w:p w:rsidR="00B04D78" w:rsidRPr="00F1088B" w:rsidRDefault="00B04D78" w:rsidP="002161C5">
      <w:pPr>
        <w:rPr>
          <w:b/>
          <w:i/>
          <w:color w:val="FF0000"/>
          <w:szCs w:val="24"/>
        </w:rPr>
      </w:pPr>
    </w:p>
    <w:p w:rsidR="00B04D78" w:rsidRPr="00E9749A" w:rsidRDefault="00B04D78" w:rsidP="002161C5">
      <w:pPr>
        <w:ind w:firstLine="709"/>
        <w:rPr>
          <w:b/>
          <w:i/>
          <w:szCs w:val="24"/>
        </w:rPr>
      </w:pPr>
      <w:r w:rsidRPr="00E9749A">
        <w:rPr>
          <w:b/>
          <w:i/>
          <w:szCs w:val="24"/>
        </w:rPr>
        <w:t>Сфера производства и распределения электроэнергии, газа и воды</w:t>
      </w:r>
    </w:p>
    <w:p w:rsidR="00B04D78" w:rsidRPr="00F1088B" w:rsidRDefault="00B04D78" w:rsidP="002161C5">
      <w:pPr>
        <w:ind w:firstLine="720"/>
        <w:jc w:val="both"/>
        <w:rPr>
          <w:color w:val="FF0000"/>
          <w:szCs w:val="24"/>
        </w:rPr>
      </w:pPr>
      <w:r w:rsidRPr="00E9749A">
        <w:rPr>
          <w:szCs w:val="24"/>
        </w:rPr>
        <w:t xml:space="preserve">На сферу </w:t>
      </w:r>
      <w:r w:rsidRPr="00E9749A">
        <w:rPr>
          <w:b/>
          <w:szCs w:val="24"/>
        </w:rPr>
        <w:t>производства и распределения электроэнергии, газа и воды</w:t>
      </w:r>
      <w:r w:rsidRPr="00E9749A">
        <w:rPr>
          <w:szCs w:val="24"/>
        </w:rPr>
        <w:t xml:space="preserve"> в         2014 году по предварительной оценке будет приходиться 6,5% промышленного производства.</w:t>
      </w:r>
    </w:p>
    <w:p w:rsidR="00B04D78" w:rsidRPr="00E9749A" w:rsidRDefault="00B04D78" w:rsidP="002161C5">
      <w:pPr>
        <w:ind w:firstLine="708"/>
        <w:jc w:val="both"/>
        <w:rPr>
          <w:szCs w:val="24"/>
        </w:rPr>
      </w:pPr>
      <w:r w:rsidRPr="00E9749A">
        <w:rPr>
          <w:szCs w:val="24"/>
        </w:rPr>
        <w:t>Производство электроэнергии  на территории района  осуществляют филиал      ОАО «Передвижная энергетика» - «передвижные электростанции «Казым», «Казымское ЛПУ МГ», «Верхнеказымское ЛПУ МГ», «Сосновское ЛПУ МГ», «</w:t>
      </w:r>
      <w:proofErr w:type="spellStart"/>
      <w:r w:rsidRPr="00E9749A">
        <w:rPr>
          <w:szCs w:val="24"/>
        </w:rPr>
        <w:t>Сорумское</w:t>
      </w:r>
      <w:proofErr w:type="spellEnd"/>
      <w:r w:rsidRPr="00E9749A">
        <w:rPr>
          <w:szCs w:val="24"/>
        </w:rPr>
        <w:t xml:space="preserve"> ЛПУ МГ», «Бобровское ЛПУ МГ». </w:t>
      </w:r>
    </w:p>
    <w:p w:rsidR="00B04D78" w:rsidRPr="00E9749A" w:rsidRDefault="00B04D78" w:rsidP="002161C5">
      <w:pPr>
        <w:ind w:firstLine="708"/>
        <w:jc w:val="both"/>
        <w:rPr>
          <w:szCs w:val="24"/>
        </w:rPr>
      </w:pPr>
      <w:r w:rsidRPr="00E9749A">
        <w:rPr>
          <w:szCs w:val="24"/>
        </w:rPr>
        <w:lastRenderedPageBreak/>
        <w:t xml:space="preserve">Объем производства электроэнергии на территории Белоярского района за 2013 год составил 325,1 </w:t>
      </w:r>
      <w:proofErr w:type="spellStart"/>
      <w:proofErr w:type="gramStart"/>
      <w:r w:rsidRPr="00E9749A">
        <w:rPr>
          <w:szCs w:val="24"/>
        </w:rPr>
        <w:t>млн.Квт.ч</w:t>
      </w:r>
      <w:proofErr w:type="spellEnd"/>
      <w:r w:rsidRPr="00E9749A">
        <w:rPr>
          <w:szCs w:val="24"/>
        </w:rPr>
        <w:t>. Прогнозируемый</w:t>
      </w:r>
      <w:proofErr w:type="gramEnd"/>
      <w:r w:rsidRPr="00E9749A">
        <w:rPr>
          <w:szCs w:val="24"/>
        </w:rPr>
        <w:t xml:space="preserve"> объем производства электроэнергии в среднесрочной перспективе увеличится  на 1-2% и составит 3</w:t>
      </w:r>
      <w:r>
        <w:rPr>
          <w:szCs w:val="24"/>
        </w:rPr>
        <w:t>11,5 – 32</w:t>
      </w:r>
      <w:r w:rsidRPr="00E9749A">
        <w:rPr>
          <w:szCs w:val="24"/>
        </w:rPr>
        <w:t xml:space="preserve">4,3 млн. кВтч. </w:t>
      </w:r>
    </w:p>
    <w:p w:rsidR="00B04D78" w:rsidRPr="00E9749A" w:rsidRDefault="00B04D78" w:rsidP="002161C5">
      <w:pPr>
        <w:ind w:firstLine="708"/>
        <w:jc w:val="both"/>
        <w:rPr>
          <w:szCs w:val="24"/>
        </w:rPr>
      </w:pPr>
    </w:p>
    <w:p w:rsidR="00B04D78" w:rsidRPr="00E9749A" w:rsidRDefault="00B04D78" w:rsidP="002161C5">
      <w:pPr>
        <w:jc w:val="right"/>
        <w:rPr>
          <w:szCs w:val="24"/>
        </w:rPr>
      </w:pPr>
      <w:r w:rsidRPr="00E9749A">
        <w:rPr>
          <w:szCs w:val="24"/>
        </w:rPr>
        <w:t>Диаграмма 5</w:t>
      </w:r>
    </w:p>
    <w:p w:rsidR="00B04D78" w:rsidRPr="00E9749A" w:rsidRDefault="00B04D78" w:rsidP="002161C5">
      <w:pPr>
        <w:jc w:val="both"/>
        <w:rPr>
          <w:szCs w:val="24"/>
        </w:rPr>
      </w:pPr>
      <w:r w:rsidRPr="00A97D64">
        <w:rPr>
          <w:noProof/>
          <w:szCs w:val="24"/>
        </w:rPr>
        <w:drawing>
          <wp:inline distT="0" distB="0" distL="0" distR="0">
            <wp:extent cx="5867400" cy="2943225"/>
            <wp:effectExtent l="19050" t="0" r="19050" b="0"/>
            <wp:docPr id="30"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04D78" w:rsidRPr="00E9749A" w:rsidRDefault="00B04D78" w:rsidP="002161C5">
      <w:pPr>
        <w:jc w:val="both"/>
        <w:rPr>
          <w:szCs w:val="24"/>
        </w:rPr>
      </w:pPr>
    </w:p>
    <w:p w:rsidR="00B04D78" w:rsidRPr="00E9749A" w:rsidRDefault="00B04D78" w:rsidP="002161C5">
      <w:pPr>
        <w:ind w:firstLine="720"/>
        <w:jc w:val="both"/>
        <w:rPr>
          <w:szCs w:val="24"/>
        </w:rPr>
      </w:pPr>
      <w:r w:rsidRPr="00E9749A">
        <w:rPr>
          <w:szCs w:val="24"/>
        </w:rPr>
        <w:t xml:space="preserve">Обеспечение  электроснабжения города </w:t>
      </w:r>
      <w:proofErr w:type="gramStart"/>
      <w:r w:rsidRPr="00E9749A">
        <w:rPr>
          <w:szCs w:val="24"/>
        </w:rPr>
        <w:t>Белоярский</w:t>
      </w:r>
      <w:proofErr w:type="gramEnd"/>
      <w:r w:rsidRPr="00E9749A">
        <w:rPr>
          <w:szCs w:val="24"/>
        </w:rPr>
        <w:t xml:space="preserve"> и поселков Белоярского района осуществляет </w:t>
      </w:r>
      <w:r w:rsidRPr="00E9749A">
        <w:rPr>
          <w:sz w:val="22"/>
          <w:szCs w:val="22"/>
        </w:rPr>
        <w:t xml:space="preserve">ОАО «Тюменская </w:t>
      </w:r>
      <w:proofErr w:type="spellStart"/>
      <w:r w:rsidRPr="00E9749A">
        <w:rPr>
          <w:sz w:val="22"/>
          <w:szCs w:val="22"/>
        </w:rPr>
        <w:t>энергосбытовая</w:t>
      </w:r>
      <w:proofErr w:type="spellEnd"/>
      <w:r w:rsidRPr="00E9749A">
        <w:rPr>
          <w:sz w:val="22"/>
          <w:szCs w:val="22"/>
        </w:rPr>
        <w:t xml:space="preserve"> компания» </w:t>
      </w:r>
      <w:proofErr w:type="spellStart"/>
      <w:r w:rsidRPr="00E9749A">
        <w:rPr>
          <w:sz w:val="22"/>
          <w:szCs w:val="22"/>
        </w:rPr>
        <w:t>Надымское</w:t>
      </w:r>
      <w:proofErr w:type="spellEnd"/>
      <w:r w:rsidRPr="00E9749A">
        <w:rPr>
          <w:sz w:val="22"/>
          <w:szCs w:val="22"/>
        </w:rPr>
        <w:t xml:space="preserve"> межрайонное отделение</w:t>
      </w:r>
      <w:r w:rsidRPr="00E9749A">
        <w:rPr>
          <w:szCs w:val="24"/>
        </w:rPr>
        <w:t xml:space="preserve">. </w:t>
      </w:r>
    </w:p>
    <w:p w:rsidR="00B04D78" w:rsidRPr="00E9749A" w:rsidRDefault="00B04D78" w:rsidP="002161C5">
      <w:pPr>
        <w:ind w:firstLine="720"/>
        <w:jc w:val="both"/>
        <w:rPr>
          <w:szCs w:val="24"/>
        </w:rPr>
      </w:pPr>
      <w:r w:rsidRPr="00E9749A">
        <w:rPr>
          <w:szCs w:val="24"/>
        </w:rPr>
        <w:t xml:space="preserve">Основным поставщиком питьевой воды в городе Белоярский, селах Казым и </w:t>
      </w:r>
      <w:proofErr w:type="gramStart"/>
      <w:r w:rsidRPr="00E9749A">
        <w:rPr>
          <w:szCs w:val="24"/>
        </w:rPr>
        <w:t>Полноват</w:t>
      </w:r>
      <w:proofErr w:type="gramEnd"/>
      <w:r w:rsidRPr="00E9749A">
        <w:rPr>
          <w:szCs w:val="24"/>
        </w:rPr>
        <w:t xml:space="preserve"> является   предприятие ОАО «ЮКЭК-Белоярский». Забор  воды  в городе Белоярский осуществляется из поверхностного источника – р. Казым, в селах Казым и Полноват  источником питьевой  воды  являются  подземные  воды. В трассовых  поселках  Верхнеказымский, Лыхма, Сорум и Сосновка  услуги водоснабжения оказывают линейно-производственные управления магистральных газопроводов ООО «Газпром трансгаз Югорск».</w:t>
      </w:r>
    </w:p>
    <w:p w:rsidR="00B04D78" w:rsidRPr="00E9749A" w:rsidRDefault="00B04D78" w:rsidP="002161C5">
      <w:pPr>
        <w:ind w:firstLine="425"/>
        <w:jc w:val="both"/>
        <w:rPr>
          <w:szCs w:val="24"/>
        </w:rPr>
      </w:pPr>
      <w:r w:rsidRPr="00E9749A">
        <w:rPr>
          <w:szCs w:val="24"/>
        </w:rPr>
        <w:t xml:space="preserve">Поставку газа на территории Белоярского района осуществляет ЗАО «Газпром </w:t>
      </w:r>
      <w:proofErr w:type="spellStart"/>
      <w:r w:rsidRPr="00E9749A">
        <w:rPr>
          <w:szCs w:val="24"/>
        </w:rPr>
        <w:t>межрегионгаз</w:t>
      </w:r>
      <w:proofErr w:type="spellEnd"/>
      <w:r w:rsidRPr="00E9749A">
        <w:rPr>
          <w:szCs w:val="24"/>
        </w:rPr>
        <w:t xml:space="preserve"> Север».  Централизованным газом  обеспечены все крупные населенные пункты Белоярского района. Эксплуатацию газораспределительных сетей, а также техническое обслуживание внутридомового газового оборудования</w:t>
      </w:r>
      <w:r w:rsidR="00BF082A">
        <w:rPr>
          <w:szCs w:val="24"/>
        </w:rPr>
        <w:t>,</w:t>
      </w:r>
      <w:r w:rsidRPr="00E9749A">
        <w:rPr>
          <w:szCs w:val="24"/>
        </w:rPr>
        <w:t xml:space="preserve">  осуществляет             Белоярский ПЭУ ОАО "Газпром газораспределение Север".</w:t>
      </w:r>
    </w:p>
    <w:p w:rsidR="00695849" w:rsidRPr="00F1088B" w:rsidRDefault="00695849" w:rsidP="002161C5">
      <w:pPr>
        <w:ind w:firstLine="425"/>
        <w:jc w:val="both"/>
        <w:rPr>
          <w:color w:val="FF0000"/>
          <w:szCs w:val="24"/>
        </w:rPr>
      </w:pPr>
    </w:p>
    <w:p w:rsidR="00B04D78" w:rsidRPr="00E9749A" w:rsidRDefault="00B04D78" w:rsidP="00003EDF">
      <w:pPr>
        <w:ind w:firstLine="709"/>
        <w:jc w:val="both"/>
        <w:rPr>
          <w:b/>
          <w:i/>
          <w:szCs w:val="24"/>
        </w:rPr>
      </w:pPr>
      <w:r w:rsidRPr="00E9749A">
        <w:rPr>
          <w:b/>
          <w:i/>
          <w:szCs w:val="24"/>
        </w:rPr>
        <w:t>Сельское хозяйство</w:t>
      </w:r>
    </w:p>
    <w:p w:rsidR="00B04D78" w:rsidRPr="00E9749A" w:rsidRDefault="00B04D78" w:rsidP="002161C5">
      <w:pPr>
        <w:ind w:firstLine="720"/>
        <w:jc w:val="both"/>
        <w:rPr>
          <w:szCs w:val="24"/>
        </w:rPr>
      </w:pPr>
      <w:r w:rsidRPr="00E9749A">
        <w:rPr>
          <w:szCs w:val="24"/>
        </w:rPr>
        <w:t>Сельскохозяйственное производство в Белоярском районе представлено в основном животноводством (мясомолочное скотоводство, птицеводство, Северное оленеводство и клеточное звероводство). Основную долю сельскохозяйственного рынка в животноводческой отрасли на территории Белоярского района занимает                                ООО «Сельскохозяйственное предприятие «Белоярское». От объёмов производства и реализации молока, молочной продукции, мяса, изделий из мяса, яйц</w:t>
      </w:r>
      <w:proofErr w:type="gramStart"/>
      <w:r w:rsidRPr="00E9749A">
        <w:rPr>
          <w:szCs w:val="24"/>
        </w:rPr>
        <w:t>а                                       ООО</w:t>
      </w:r>
      <w:proofErr w:type="gramEnd"/>
      <w:r w:rsidRPr="00E9749A">
        <w:rPr>
          <w:szCs w:val="24"/>
        </w:rPr>
        <w:t xml:space="preserve"> СП «Белоярское» во многом зависят рыночные цены на территории Белоярского района, особенно в межсезонье. ОАО «Казымская оленеводческая компания» - крупнейшее в округе сельскохозяйственное предприятие, занимающееся традиционным хозяйствованием: оленеводством, клеточным звероводством. </w:t>
      </w:r>
    </w:p>
    <w:p w:rsidR="00B04D78" w:rsidRPr="00E9749A" w:rsidRDefault="00B04D78" w:rsidP="002161C5">
      <w:pPr>
        <w:pStyle w:val="ConsPlusNormal"/>
        <w:widowControl/>
        <w:jc w:val="both"/>
        <w:rPr>
          <w:rFonts w:ascii="Times New Roman" w:hAnsi="Times New Roman" w:cs="Times New Roman"/>
          <w:sz w:val="24"/>
          <w:szCs w:val="24"/>
        </w:rPr>
      </w:pPr>
      <w:r w:rsidRPr="00E9749A">
        <w:rPr>
          <w:rFonts w:ascii="Times New Roman" w:hAnsi="Times New Roman" w:cs="Times New Roman"/>
          <w:sz w:val="24"/>
          <w:szCs w:val="24"/>
        </w:rPr>
        <w:t xml:space="preserve">В 2013 году объем производства скота и птицы на убой (в живом весе) хозяйствами всех категорий составил 355,0 тонн, что на 3,2% выше уровня 2012 года. Производство </w:t>
      </w:r>
      <w:r w:rsidRPr="00E9749A">
        <w:rPr>
          <w:rFonts w:ascii="Times New Roman" w:hAnsi="Times New Roman" w:cs="Times New Roman"/>
          <w:sz w:val="24"/>
          <w:szCs w:val="24"/>
        </w:rPr>
        <w:lastRenderedPageBreak/>
        <w:t xml:space="preserve">молока составляет 1041 тонну (96,2% к прошлогоднему показателю). Производство яиц в 2013 году составило 2,62 млн. штук (89,1% к прошлогоднему показателю).  </w:t>
      </w:r>
    </w:p>
    <w:p w:rsidR="00B04D78" w:rsidRPr="00B04D78" w:rsidRDefault="00B04D78" w:rsidP="002161C5">
      <w:pPr>
        <w:pStyle w:val="ConsPlusNormal"/>
        <w:widowControl/>
        <w:jc w:val="both"/>
        <w:rPr>
          <w:rFonts w:ascii="Times New Roman" w:hAnsi="Times New Roman" w:cs="Times New Roman"/>
          <w:sz w:val="24"/>
          <w:szCs w:val="24"/>
        </w:rPr>
      </w:pPr>
      <w:r w:rsidRPr="00B04D78">
        <w:rPr>
          <w:rFonts w:ascii="Times New Roman" w:hAnsi="Times New Roman" w:cs="Times New Roman"/>
          <w:sz w:val="24"/>
          <w:szCs w:val="24"/>
        </w:rPr>
        <w:t xml:space="preserve">Поголовье крупнорогатого скота в хозяйствах всех категорий в 2013 году составило 410 голов (419 голов в 2012 году) в связи с уменьшением поголовья КРС в сельскохозяйственных организациях и у населения. Поголовье свиней в 2013 году составило 768 голов (101,3% к уровню 2012 года). </w:t>
      </w:r>
    </w:p>
    <w:p w:rsidR="00B04D78" w:rsidRPr="00E9749A" w:rsidRDefault="00B04D78" w:rsidP="002161C5">
      <w:pPr>
        <w:pStyle w:val="ConsPlusNormal"/>
        <w:widowControl/>
        <w:jc w:val="both"/>
        <w:rPr>
          <w:rFonts w:ascii="Times New Roman" w:hAnsi="Times New Roman" w:cs="Times New Roman"/>
          <w:sz w:val="24"/>
          <w:szCs w:val="24"/>
        </w:rPr>
      </w:pPr>
      <w:r w:rsidRPr="00B04D78">
        <w:rPr>
          <w:rFonts w:ascii="Times New Roman" w:hAnsi="Times New Roman" w:cs="Times New Roman"/>
          <w:sz w:val="24"/>
          <w:szCs w:val="24"/>
        </w:rPr>
        <w:t xml:space="preserve">В хозяйствах всех форм собственности Белоярского района содержится самое большое </w:t>
      </w:r>
      <w:proofErr w:type="gramStart"/>
      <w:r w:rsidRPr="00B04D78">
        <w:rPr>
          <w:rFonts w:ascii="Times New Roman" w:hAnsi="Times New Roman" w:cs="Times New Roman"/>
          <w:sz w:val="24"/>
          <w:szCs w:val="24"/>
        </w:rPr>
        <w:t>в</w:t>
      </w:r>
      <w:proofErr w:type="gramEnd"/>
      <w:r w:rsidR="001C6E3D">
        <w:rPr>
          <w:rFonts w:ascii="Times New Roman" w:hAnsi="Times New Roman" w:cs="Times New Roman"/>
          <w:sz w:val="24"/>
          <w:szCs w:val="24"/>
        </w:rPr>
        <w:t xml:space="preserve"> </w:t>
      </w:r>
      <w:proofErr w:type="gramStart"/>
      <w:r w:rsidRPr="00B04D78">
        <w:rPr>
          <w:rFonts w:ascii="Times New Roman" w:hAnsi="Times New Roman" w:cs="Times New Roman"/>
          <w:sz w:val="24"/>
          <w:szCs w:val="24"/>
        </w:rPr>
        <w:t>Ханты-Мансийском</w:t>
      </w:r>
      <w:proofErr w:type="gramEnd"/>
      <w:r w:rsidRPr="00B04D78">
        <w:rPr>
          <w:rFonts w:ascii="Times New Roman" w:hAnsi="Times New Roman" w:cs="Times New Roman"/>
          <w:sz w:val="24"/>
          <w:szCs w:val="24"/>
        </w:rPr>
        <w:t xml:space="preserve"> автономном округе - Югре   стадо</w:t>
      </w:r>
      <w:r w:rsidRPr="00E9749A">
        <w:rPr>
          <w:rFonts w:ascii="Times New Roman" w:hAnsi="Times New Roman" w:cs="Times New Roman"/>
          <w:sz w:val="24"/>
          <w:szCs w:val="24"/>
        </w:rPr>
        <w:t xml:space="preserve">    Северных    оленей – 14 996  голов, в том числе  ОАО «Казымская оленеводческая компания» и национальны</w:t>
      </w:r>
      <w:r w:rsidR="001C6E3D">
        <w:rPr>
          <w:rFonts w:ascii="Times New Roman" w:hAnsi="Times New Roman" w:cs="Times New Roman"/>
          <w:sz w:val="24"/>
          <w:szCs w:val="24"/>
        </w:rPr>
        <w:t>е</w:t>
      </w:r>
      <w:r w:rsidRPr="00E9749A">
        <w:rPr>
          <w:rFonts w:ascii="Times New Roman" w:hAnsi="Times New Roman" w:cs="Times New Roman"/>
          <w:sz w:val="24"/>
          <w:szCs w:val="24"/>
        </w:rPr>
        <w:t xml:space="preserve"> общин</w:t>
      </w:r>
      <w:r w:rsidR="001C6E3D">
        <w:rPr>
          <w:rFonts w:ascii="Times New Roman" w:hAnsi="Times New Roman" w:cs="Times New Roman"/>
          <w:sz w:val="24"/>
          <w:szCs w:val="24"/>
        </w:rPr>
        <w:t>ы</w:t>
      </w:r>
      <w:r w:rsidRPr="00E9749A">
        <w:rPr>
          <w:rFonts w:ascii="Times New Roman" w:hAnsi="Times New Roman" w:cs="Times New Roman"/>
          <w:sz w:val="24"/>
          <w:szCs w:val="24"/>
        </w:rPr>
        <w:t xml:space="preserve"> – 7 628 голов,  крестьянск</w:t>
      </w:r>
      <w:r w:rsidR="001C6E3D">
        <w:rPr>
          <w:rFonts w:ascii="Times New Roman" w:hAnsi="Times New Roman" w:cs="Times New Roman"/>
          <w:sz w:val="24"/>
          <w:szCs w:val="24"/>
        </w:rPr>
        <w:t xml:space="preserve">о  </w:t>
      </w:r>
      <w:r w:rsidRPr="00E9749A">
        <w:rPr>
          <w:rFonts w:ascii="Times New Roman" w:hAnsi="Times New Roman" w:cs="Times New Roman"/>
          <w:sz w:val="24"/>
          <w:szCs w:val="24"/>
        </w:rPr>
        <w:t xml:space="preserve"> (фермерски</w:t>
      </w:r>
      <w:r w:rsidR="001C6E3D">
        <w:rPr>
          <w:rFonts w:ascii="Times New Roman" w:hAnsi="Times New Roman" w:cs="Times New Roman"/>
          <w:sz w:val="24"/>
          <w:szCs w:val="24"/>
        </w:rPr>
        <w:t>е</w:t>
      </w:r>
      <w:r w:rsidRPr="00E9749A">
        <w:rPr>
          <w:rFonts w:ascii="Times New Roman" w:hAnsi="Times New Roman" w:cs="Times New Roman"/>
          <w:sz w:val="24"/>
          <w:szCs w:val="24"/>
        </w:rPr>
        <w:t xml:space="preserve">) хозяйства – 4 001 голова, </w:t>
      </w:r>
      <w:r w:rsidR="001C6E3D">
        <w:rPr>
          <w:rFonts w:ascii="Times New Roman" w:hAnsi="Times New Roman" w:cs="Times New Roman"/>
          <w:sz w:val="24"/>
          <w:szCs w:val="24"/>
        </w:rPr>
        <w:t xml:space="preserve"> </w:t>
      </w:r>
      <w:r w:rsidRPr="00E9749A">
        <w:rPr>
          <w:rFonts w:ascii="Times New Roman" w:hAnsi="Times New Roman" w:cs="Times New Roman"/>
          <w:sz w:val="24"/>
          <w:szCs w:val="24"/>
        </w:rPr>
        <w:t xml:space="preserve"> населени</w:t>
      </w:r>
      <w:r w:rsidR="001C6E3D">
        <w:rPr>
          <w:rFonts w:ascii="Times New Roman" w:hAnsi="Times New Roman" w:cs="Times New Roman"/>
          <w:sz w:val="24"/>
          <w:szCs w:val="24"/>
        </w:rPr>
        <w:t>е</w:t>
      </w:r>
      <w:r w:rsidRPr="00E9749A">
        <w:rPr>
          <w:rFonts w:ascii="Times New Roman" w:hAnsi="Times New Roman" w:cs="Times New Roman"/>
          <w:sz w:val="24"/>
          <w:szCs w:val="24"/>
        </w:rPr>
        <w:t xml:space="preserve"> – 3 367 голов.</w:t>
      </w:r>
    </w:p>
    <w:p w:rsidR="00B04D78" w:rsidRPr="00B04D78" w:rsidRDefault="00B04D78" w:rsidP="002161C5">
      <w:pPr>
        <w:ind w:firstLine="720"/>
        <w:jc w:val="both"/>
        <w:rPr>
          <w:szCs w:val="24"/>
        </w:rPr>
      </w:pPr>
      <w:r w:rsidRPr="00B04D78">
        <w:rPr>
          <w:szCs w:val="24"/>
        </w:rPr>
        <w:t xml:space="preserve">Картофель и овощи выращиваются населением на приусадебных участках и участках, входящим в садово-огороднические товарищества. В 2013 году выращено  2220,2 тонны картофеля (99,8% к прошлогоднему показателю), овощей – 262,1 тонны (100,8% к прошлогоднему показателю). В 2013 году индивидуальными предпринимателями выращено 16,2 тонны картофеля (в 2012 году – 22 тонны), 24,1 тонны овощей (в 2012 году – 20 тонн). </w:t>
      </w:r>
    </w:p>
    <w:p w:rsidR="00B04D78" w:rsidRPr="00B04D78" w:rsidRDefault="00B04D78" w:rsidP="002161C5">
      <w:pPr>
        <w:pStyle w:val="ConsPlusNormal"/>
        <w:jc w:val="both"/>
        <w:rPr>
          <w:rFonts w:ascii="Times New Roman" w:hAnsi="Times New Roman" w:cs="Times New Roman"/>
          <w:sz w:val="24"/>
          <w:szCs w:val="24"/>
        </w:rPr>
      </w:pPr>
      <w:proofErr w:type="gramStart"/>
      <w:r w:rsidRPr="00B04D78">
        <w:rPr>
          <w:rFonts w:ascii="Times New Roman" w:hAnsi="Times New Roman" w:cs="Times New Roman"/>
          <w:sz w:val="24"/>
          <w:szCs w:val="24"/>
        </w:rPr>
        <w:t>Производство сельхозпродукции во всех категориях хозяйств в 2014 году оценочно составит: производство мяса – 350 тонн (98,6% к уровню 2013 года), производство  молока – 1084 тонны (104,1% к уровню 2012 года), производство яиц – 2,6 млн. штук (99,4% к уровню 2012 года), производство картофеля – 2223,4 тонны (100,1% к уровню 2012 года), овощей – 264,2 тонны (100,8% к уровню 2013 года).</w:t>
      </w:r>
      <w:proofErr w:type="gramEnd"/>
    </w:p>
    <w:p w:rsidR="00B04D78" w:rsidRPr="00B04D78" w:rsidRDefault="00B04D78" w:rsidP="002161C5">
      <w:pPr>
        <w:pStyle w:val="ConsPlusNormal"/>
        <w:jc w:val="both"/>
        <w:rPr>
          <w:rFonts w:ascii="Times New Roman" w:hAnsi="Times New Roman" w:cs="Times New Roman"/>
          <w:sz w:val="24"/>
          <w:szCs w:val="24"/>
        </w:rPr>
      </w:pPr>
      <w:proofErr w:type="gramStart"/>
      <w:r w:rsidRPr="00B04D78">
        <w:rPr>
          <w:rFonts w:ascii="Times New Roman" w:hAnsi="Times New Roman" w:cs="Times New Roman"/>
          <w:sz w:val="24"/>
          <w:szCs w:val="24"/>
        </w:rPr>
        <w:t>В прогнозном 2015 году производство сельхозпродукции составит: производство мяса – 356 тонн (101,7% к уровню 2014 года), производство молока – 1091 тонна (100,7% к уровню 2014 года), производство яиц – 2,6 млн. штук (100,3% к уровню 2014 года), производство картофеля – 2225 тонн (101,2% к уровню 2014 года), овощей – 265,5 тонн (100,5% к уровню 2014 года).</w:t>
      </w:r>
      <w:proofErr w:type="gramEnd"/>
    </w:p>
    <w:p w:rsidR="00B04D78" w:rsidRPr="00B04D78" w:rsidRDefault="00B04D78" w:rsidP="002161C5">
      <w:pPr>
        <w:pStyle w:val="ad"/>
        <w:spacing w:before="0" w:beforeAutospacing="0" w:after="0" w:afterAutospacing="0"/>
        <w:ind w:firstLine="720"/>
        <w:jc w:val="both"/>
        <w:rPr>
          <w:b/>
        </w:rPr>
      </w:pPr>
      <w:r w:rsidRPr="00B04D78">
        <w:t xml:space="preserve">По предварительным данным в 2013 году производство продукции сельского хозяйства во всех категориях хозяйств составило 271,3 млн. рублей или 104,9% в сопоставимых ценах к уровню 2012 года, в 2014 году оценочно составит 294,3 млн.рублей или 102,3% к уровню 2013 года. </w:t>
      </w:r>
    </w:p>
    <w:p w:rsidR="00B04D78" w:rsidRPr="00B04D78" w:rsidRDefault="00B04D78" w:rsidP="00003EDF">
      <w:pPr>
        <w:ind w:firstLine="720"/>
        <w:jc w:val="both"/>
        <w:rPr>
          <w:szCs w:val="24"/>
        </w:rPr>
      </w:pPr>
      <w:proofErr w:type="gramStart"/>
      <w:r w:rsidRPr="00B04D78">
        <w:rPr>
          <w:szCs w:val="24"/>
        </w:rPr>
        <w:t xml:space="preserve">В 2015 году производство продукции сельского хозяйства во всех категориях хозяйств прогнозируется в объеме 319,0 млн. рублей или 103,3% в сопоставимых ценах к уровню 2014 года, в 2016 году - в объеме  344,3 млн. рублей или 104,1% к предыдущему году, в 2017 году – 378,6 млн. рублей или 104,6% к уровню 2015 года в сопоставимых ценах. </w:t>
      </w:r>
      <w:proofErr w:type="gramEnd"/>
    </w:p>
    <w:p w:rsidR="00003EDF" w:rsidRDefault="00003EDF" w:rsidP="002161C5">
      <w:pPr>
        <w:ind w:right="141" w:firstLine="708"/>
        <w:jc w:val="right"/>
        <w:rPr>
          <w:szCs w:val="24"/>
        </w:rPr>
      </w:pPr>
    </w:p>
    <w:p w:rsidR="00B04D78" w:rsidRPr="00B04D78" w:rsidRDefault="00B04D78" w:rsidP="002161C5">
      <w:pPr>
        <w:ind w:right="141" w:firstLine="708"/>
        <w:jc w:val="right"/>
        <w:rPr>
          <w:szCs w:val="24"/>
        </w:rPr>
      </w:pPr>
      <w:r w:rsidRPr="00B04D78">
        <w:rPr>
          <w:szCs w:val="24"/>
        </w:rPr>
        <w:t>Диаграмма 6</w:t>
      </w:r>
    </w:p>
    <w:p w:rsidR="00B04D78" w:rsidRPr="00B04D78" w:rsidRDefault="00B04D78" w:rsidP="002161C5">
      <w:pPr>
        <w:jc w:val="both"/>
        <w:rPr>
          <w:szCs w:val="24"/>
        </w:rPr>
      </w:pPr>
      <w:r w:rsidRPr="00B04D78">
        <w:rPr>
          <w:noProof/>
          <w:szCs w:val="24"/>
        </w:rPr>
        <w:drawing>
          <wp:inline distT="0" distB="0" distL="0" distR="0">
            <wp:extent cx="5924550" cy="2571750"/>
            <wp:effectExtent l="0" t="0" r="0" b="0"/>
            <wp:docPr id="14"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04D78" w:rsidRPr="00B04D78" w:rsidRDefault="00B04D78" w:rsidP="002161C5">
      <w:pPr>
        <w:shd w:val="clear" w:color="auto" w:fill="FFFFFF"/>
        <w:ind w:firstLine="709"/>
        <w:jc w:val="both"/>
        <w:rPr>
          <w:szCs w:val="24"/>
        </w:rPr>
      </w:pPr>
    </w:p>
    <w:p w:rsidR="002161C5" w:rsidRDefault="002161C5" w:rsidP="002161C5">
      <w:pPr>
        <w:shd w:val="clear" w:color="auto" w:fill="FFFFFF"/>
        <w:ind w:firstLine="709"/>
        <w:jc w:val="both"/>
        <w:rPr>
          <w:bCs/>
          <w:szCs w:val="24"/>
        </w:rPr>
      </w:pPr>
      <w:r w:rsidRPr="00B20C91">
        <w:rPr>
          <w:szCs w:val="24"/>
        </w:rPr>
        <w:t>В 2014 году закончены  работы по капитальному ремонт</w:t>
      </w:r>
      <w:r w:rsidR="00337184">
        <w:rPr>
          <w:szCs w:val="24"/>
        </w:rPr>
        <w:t xml:space="preserve">у молзавода  в городе </w:t>
      </w:r>
      <w:proofErr w:type="gramStart"/>
      <w:r w:rsidR="00337184">
        <w:rPr>
          <w:szCs w:val="24"/>
        </w:rPr>
        <w:t>Белоярский</w:t>
      </w:r>
      <w:proofErr w:type="gramEnd"/>
      <w:r w:rsidRPr="00B20C91">
        <w:rPr>
          <w:szCs w:val="24"/>
        </w:rPr>
        <w:t xml:space="preserve">. Запущена линия по выпуску молочной и кисломолочной продукции с ассортиментом  более тридцати наименований. </w:t>
      </w:r>
      <w:proofErr w:type="gramStart"/>
      <w:r w:rsidRPr="00B20C91">
        <w:rPr>
          <w:szCs w:val="24"/>
        </w:rPr>
        <w:t>Выпускается кефир разной жирности, йогурты с фруктовыми наполнителями, ряженка, сметана, сливки, напиток «Снежок», творог и сыр «Адыгейский».</w:t>
      </w:r>
      <w:proofErr w:type="gramEnd"/>
      <w:r w:rsidRPr="00B20C91">
        <w:rPr>
          <w:szCs w:val="24"/>
        </w:rPr>
        <w:t xml:space="preserve"> В перспективе планируется наладить производство </w:t>
      </w:r>
      <w:proofErr w:type="spellStart"/>
      <w:r w:rsidRPr="00B20C91">
        <w:rPr>
          <w:szCs w:val="24"/>
        </w:rPr>
        <w:t>био-продуктов</w:t>
      </w:r>
      <w:proofErr w:type="spellEnd"/>
      <w:r w:rsidRPr="00B20C91">
        <w:rPr>
          <w:szCs w:val="24"/>
        </w:rPr>
        <w:t>.</w:t>
      </w:r>
      <w:r w:rsidR="0058632C">
        <w:rPr>
          <w:szCs w:val="24"/>
        </w:rPr>
        <w:t xml:space="preserve"> </w:t>
      </w:r>
      <w:r w:rsidRPr="00B20C91">
        <w:rPr>
          <w:bCs/>
          <w:szCs w:val="24"/>
        </w:rPr>
        <w:t>Кроме того, в перспективе планируется выпуск продукции из дикорастущих ягод - джемы, морсы, варенье, а также ПЭТ бутылки объёмом от 0,3 до 1,0 литра. В проекте также предусмотрен</w:t>
      </w:r>
      <w:r>
        <w:rPr>
          <w:bCs/>
          <w:szCs w:val="24"/>
        </w:rPr>
        <w:t>а</w:t>
      </w:r>
      <w:r w:rsidRPr="00B20C91">
        <w:rPr>
          <w:bCs/>
          <w:szCs w:val="24"/>
        </w:rPr>
        <w:t xml:space="preserve"> организация выпуска бутилированной питьевой воды в фасовке от 0,5 до </w:t>
      </w:r>
      <w:smartTag w:uri="urn:schemas-microsoft-com:office:smarttags" w:element="metricconverter">
        <w:smartTagPr>
          <w:attr w:name="ProductID" w:val="5,0 литров"/>
        </w:smartTagPr>
        <w:r w:rsidRPr="00B20C91">
          <w:rPr>
            <w:bCs/>
            <w:szCs w:val="24"/>
          </w:rPr>
          <w:t>5,0 литров</w:t>
        </w:r>
      </w:smartTag>
      <w:r w:rsidRPr="00B20C91">
        <w:rPr>
          <w:bCs/>
          <w:szCs w:val="24"/>
        </w:rPr>
        <w:t>. Запуск нового производства позволит создать новые дополнительные рабочие места.</w:t>
      </w:r>
    </w:p>
    <w:p w:rsidR="002161C5" w:rsidRPr="00B20C91" w:rsidRDefault="002161C5" w:rsidP="002161C5">
      <w:pPr>
        <w:shd w:val="clear" w:color="auto" w:fill="FFFFFF"/>
        <w:ind w:firstLine="709"/>
        <w:jc w:val="both"/>
        <w:rPr>
          <w:bCs/>
          <w:szCs w:val="24"/>
        </w:rPr>
      </w:pPr>
      <w:r>
        <w:rPr>
          <w:bCs/>
          <w:szCs w:val="24"/>
        </w:rPr>
        <w:t>Помимо сельскохозяйственных организаций на территории Белоярского района в сфере агропромышленного комплекса осуществляют свою деятельность 52 крестьянско-фермерских хозяйств</w:t>
      </w:r>
      <w:r w:rsidR="00C37825">
        <w:rPr>
          <w:bCs/>
          <w:szCs w:val="24"/>
        </w:rPr>
        <w:t>а</w:t>
      </w:r>
      <w:r>
        <w:rPr>
          <w:bCs/>
          <w:szCs w:val="24"/>
        </w:rPr>
        <w:t>.</w:t>
      </w:r>
    </w:p>
    <w:p w:rsidR="00B04D78" w:rsidRPr="00AF6C9A" w:rsidRDefault="00B04D78" w:rsidP="002161C5">
      <w:pPr>
        <w:ind w:firstLine="708"/>
        <w:jc w:val="both"/>
        <w:rPr>
          <w:szCs w:val="24"/>
        </w:rPr>
      </w:pPr>
      <w:r w:rsidRPr="00AF6C9A">
        <w:rPr>
          <w:szCs w:val="24"/>
        </w:rPr>
        <w:t xml:space="preserve">В Белоярском районе действует комплекс мер, направленных на финансовое оздоровление отрасли, что позволяет сохранить положительную динамику развития сельскохозяйственных предприятий ОАО «Казымская оленеводческая компания»  </w:t>
      </w:r>
      <w:proofErr w:type="gramStart"/>
      <w:r w:rsidRPr="00AF6C9A">
        <w:rPr>
          <w:szCs w:val="24"/>
        </w:rPr>
        <w:t>и   ООО</w:t>
      </w:r>
      <w:proofErr w:type="gramEnd"/>
      <w:r w:rsidRPr="00AF6C9A">
        <w:rPr>
          <w:szCs w:val="24"/>
        </w:rPr>
        <w:t xml:space="preserve"> СП «Белоярское», а также получило  дальнейшее развитие малое предпринимательство в данной сфере. В 2013 году на поддержку и развитие агропромышленного комплекса на территории Белоярского района было направлено за счет бюджетов всех уровней  115,9 млн. рублей.</w:t>
      </w:r>
    </w:p>
    <w:p w:rsidR="00B04D78" w:rsidRPr="00AF6C9A" w:rsidRDefault="00B04D78" w:rsidP="002161C5">
      <w:pPr>
        <w:ind w:firstLine="708"/>
        <w:jc w:val="both"/>
        <w:rPr>
          <w:szCs w:val="24"/>
        </w:rPr>
      </w:pPr>
      <w:r w:rsidRPr="00AF6C9A">
        <w:rPr>
          <w:szCs w:val="24"/>
        </w:rPr>
        <w:t xml:space="preserve">За счет средств бюджета Белоярского района финансовая поддержка сельскохозяйственным предприятиям на возмещение затрат в связи с производством и реализацией сельскохозяйственной продукции в 2013 году составила 37,9 млн. руб. (производство куриного яйца, производство и переработка мяса оленей, возмещение затрат крестьянским (фермерским) хозяйствам по уплате обязательных страховых взносов). </w:t>
      </w:r>
    </w:p>
    <w:p w:rsidR="00B04D78" w:rsidRPr="00AF6C9A" w:rsidRDefault="00B04D78" w:rsidP="002161C5">
      <w:pPr>
        <w:ind w:firstLine="709"/>
        <w:jc w:val="both"/>
        <w:rPr>
          <w:szCs w:val="24"/>
        </w:rPr>
      </w:pPr>
      <w:proofErr w:type="gramStart"/>
      <w:r w:rsidRPr="00AF6C9A">
        <w:rPr>
          <w:szCs w:val="24"/>
        </w:rPr>
        <w:t>За счет средств бюджета автономного округа  в рамках реализации отдельного государственного полномочия за 2013 год выплачены субсидии: в связи с  добычей (выловом) и переработкой рыбы (4,08 млн. руб.); владельцам личных подсобных хозяйств на содержание маточного поголовья сельскохозяйственных животных (2,06 млн. руб.); в связи с заготовкой и переработкой дикоросов (0,34 млн. руб.);</w:t>
      </w:r>
      <w:proofErr w:type="gramEnd"/>
      <w:r w:rsidRPr="00AF6C9A">
        <w:rPr>
          <w:szCs w:val="24"/>
        </w:rPr>
        <w:t xml:space="preserve"> в связи с производством животноводческой продукции (32,06 млн. руб.); в связи с производством растениеводческой продукции (0,4 млн. руб.).</w:t>
      </w:r>
    </w:p>
    <w:p w:rsidR="00B04D78" w:rsidRPr="00F1088B" w:rsidRDefault="00B04D78" w:rsidP="002161C5">
      <w:pPr>
        <w:shd w:val="clear" w:color="auto" w:fill="FFFFFF"/>
        <w:ind w:firstLine="709"/>
        <w:jc w:val="both"/>
        <w:rPr>
          <w:color w:val="FF0000"/>
          <w:szCs w:val="24"/>
        </w:rPr>
      </w:pPr>
      <w:r w:rsidRPr="00AF6C9A">
        <w:rPr>
          <w:szCs w:val="24"/>
        </w:rPr>
        <w:t>С начала 2014 года на территории района реализуется муниципальная программа Белоярского района «</w:t>
      </w:r>
      <w:r w:rsidRPr="00B04D78">
        <w:rPr>
          <w:szCs w:val="24"/>
        </w:rPr>
        <w:t>Развитие агропромышленного комплекса на территории Белоярского района»на 2014 – 2020 годы. Планируемый объем финансовой поддержки в 2014 году составит 36,3 млн. рублей, из них 7,44 млн. руб. за счет средств бюджета Белоярского района и 28,86 млн. руб. за счет средств бюджета Белоярского района, сформированного за счет средств бюджета ХМАО-Югры в форме субвенции.</w:t>
      </w:r>
    </w:p>
    <w:p w:rsidR="00B04D78" w:rsidRPr="00B04D78" w:rsidRDefault="00B04D78" w:rsidP="002161C5">
      <w:pPr>
        <w:ind w:firstLine="708"/>
        <w:jc w:val="both"/>
        <w:rPr>
          <w:szCs w:val="24"/>
        </w:rPr>
      </w:pPr>
      <w:r w:rsidRPr="00B04D78">
        <w:rPr>
          <w:szCs w:val="24"/>
        </w:rPr>
        <w:t xml:space="preserve">Ежегодно продукция белоярских производителей - мясные и колбасные изделия, рыбная и молочная, занимает призовые места в конкурсе «За производство высококачественной безопасной продовольственной продукции». </w:t>
      </w:r>
    </w:p>
    <w:p w:rsidR="00003EDF" w:rsidRDefault="00003EDF" w:rsidP="002161C5">
      <w:pPr>
        <w:ind w:left="-567" w:firstLine="425"/>
        <w:jc w:val="center"/>
        <w:rPr>
          <w:b/>
          <w:color w:val="FF0000"/>
          <w:szCs w:val="24"/>
        </w:rPr>
      </w:pPr>
    </w:p>
    <w:p w:rsidR="00AB366C" w:rsidRPr="00F1088B" w:rsidRDefault="00AB366C" w:rsidP="002161C5">
      <w:pPr>
        <w:ind w:left="-567" w:firstLine="425"/>
        <w:jc w:val="center"/>
        <w:rPr>
          <w:b/>
          <w:color w:val="FF0000"/>
          <w:szCs w:val="24"/>
        </w:rPr>
      </w:pPr>
    </w:p>
    <w:p w:rsidR="005B10CE" w:rsidRPr="00DE4D1B" w:rsidRDefault="005B10CE" w:rsidP="002161C5">
      <w:pPr>
        <w:ind w:left="-567" w:firstLine="425"/>
        <w:jc w:val="center"/>
        <w:rPr>
          <w:b/>
          <w:szCs w:val="24"/>
        </w:rPr>
      </w:pPr>
      <w:r w:rsidRPr="00DE4D1B">
        <w:rPr>
          <w:b/>
          <w:szCs w:val="24"/>
        </w:rPr>
        <w:t>Инвестиции</w:t>
      </w:r>
    </w:p>
    <w:p w:rsidR="005B10CE" w:rsidRPr="00DE4D1B" w:rsidRDefault="005B10CE" w:rsidP="002161C5">
      <w:pPr>
        <w:jc w:val="center"/>
        <w:rPr>
          <w:b/>
          <w:szCs w:val="24"/>
        </w:rPr>
      </w:pPr>
    </w:p>
    <w:p w:rsidR="005B10CE" w:rsidRPr="00DE4D1B" w:rsidRDefault="005B10CE" w:rsidP="002161C5">
      <w:pPr>
        <w:pStyle w:val="a3"/>
        <w:tabs>
          <w:tab w:val="left" w:pos="709"/>
        </w:tabs>
        <w:spacing w:after="0"/>
        <w:ind w:firstLine="720"/>
        <w:jc w:val="both"/>
        <w:rPr>
          <w:szCs w:val="24"/>
        </w:rPr>
      </w:pPr>
      <w:r w:rsidRPr="00DE4D1B">
        <w:rPr>
          <w:szCs w:val="24"/>
        </w:rPr>
        <w:t>В 2013 году объем инвестиций в основной капитал за счет всех источников финансирования по крупным и средним  предприятиям  составил  7 583,22 млн. рублей или 109,8% в сопоставимых ценах к уровню 2012 года. Объем инвестиций на душу населения составил 253,7 тыс. рублей.</w:t>
      </w:r>
    </w:p>
    <w:p w:rsidR="005B10CE" w:rsidRPr="00DE4D1B" w:rsidRDefault="005B10CE" w:rsidP="002161C5">
      <w:pPr>
        <w:pStyle w:val="a3"/>
        <w:tabs>
          <w:tab w:val="left" w:pos="540"/>
        </w:tabs>
        <w:spacing w:after="0"/>
        <w:ind w:right="141" w:firstLine="720"/>
        <w:jc w:val="right"/>
        <w:rPr>
          <w:szCs w:val="24"/>
        </w:rPr>
      </w:pPr>
    </w:p>
    <w:p w:rsidR="005B10CE" w:rsidRPr="00DE4D1B" w:rsidRDefault="005B10CE" w:rsidP="002161C5">
      <w:pPr>
        <w:pStyle w:val="a3"/>
        <w:tabs>
          <w:tab w:val="left" w:pos="540"/>
        </w:tabs>
        <w:spacing w:after="0"/>
        <w:ind w:right="141" w:firstLine="720"/>
        <w:jc w:val="right"/>
        <w:rPr>
          <w:szCs w:val="24"/>
        </w:rPr>
      </w:pPr>
      <w:r w:rsidRPr="00DE4D1B">
        <w:rPr>
          <w:szCs w:val="24"/>
        </w:rPr>
        <w:lastRenderedPageBreak/>
        <w:t>Диаграмма 7</w:t>
      </w:r>
    </w:p>
    <w:p w:rsidR="005B10CE" w:rsidRPr="00F1088B" w:rsidRDefault="005B10CE" w:rsidP="002161C5">
      <w:pPr>
        <w:rPr>
          <w:color w:val="FF0000"/>
          <w:szCs w:val="24"/>
        </w:rPr>
      </w:pPr>
      <w:r>
        <w:rPr>
          <w:noProof/>
        </w:rPr>
        <w:drawing>
          <wp:inline distT="0" distB="0" distL="0" distR="0">
            <wp:extent cx="5848350" cy="3057525"/>
            <wp:effectExtent l="1905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B10CE" w:rsidRPr="00DE4D1B" w:rsidRDefault="005B10CE" w:rsidP="002161C5">
      <w:pPr>
        <w:pStyle w:val="a3"/>
        <w:tabs>
          <w:tab w:val="left" w:pos="709"/>
        </w:tabs>
        <w:spacing w:after="0"/>
        <w:ind w:firstLine="720"/>
        <w:jc w:val="both"/>
        <w:rPr>
          <w:szCs w:val="24"/>
        </w:rPr>
      </w:pPr>
      <w:r w:rsidRPr="00DE4D1B">
        <w:rPr>
          <w:szCs w:val="24"/>
        </w:rPr>
        <w:t xml:space="preserve">В 2013 году объем инвестиций в основной капитал за счет бюджетных средств составил 2 458,4 млн. руб. </w:t>
      </w:r>
    </w:p>
    <w:p w:rsidR="005B10CE" w:rsidRPr="00DE4D1B" w:rsidRDefault="005B10CE" w:rsidP="002161C5">
      <w:pPr>
        <w:ind w:firstLine="720"/>
        <w:jc w:val="both"/>
        <w:rPr>
          <w:szCs w:val="24"/>
        </w:rPr>
      </w:pPr>
      <w:r w:rsidRPr="00DE4D1B">
        <w:rPr>
          <w:szCs w:val="24"/>
        </w:rPr>
        <w:t>В разрезе источников финансирования в структуре  инвестиций в 2013 году привлеченные средства составили 32%, собственные средства предприятий – 68%.</w:t>
      </w:r>
    </w:p>
    <w:p w:rsidR="001C6E3D" w:rsidRDefault="001C6E3D" w:rsidP="002161C5">
      <w:pPr>
        <w:jc w:val="right"/>
        <w:rPr>
          <w:szCs w:val="24"/>
        </w:rPr>
      </w:pPr>
    </w:p>
    <w:p w:rsidR="005B10CE" w:rsidRDefault="005B10CE" w:rsidP="002161C5">
      <w:pPr>
        <w:jc w:val="right"/>
        <w:rPr>
          <w:szCs w:val="24"/>
        </w:rPr>
      </w:pPr>
      <w:r w:rsidRPr="00DE4D1B">
        <w:rPr>
          <w:szCs w:val="24"/>
        </w:rPr>
        <w:t>Диаграмма 8</w:t>
      </w:r>
    </w:p>
    <w:p w:rsidR="005B10CE" w:rsidRPr="00DE4D1B" w:rsidRDefault="005B10CE" w:rsidP="002161C5">
      <w:pPr>
        <w:jc w:val="right"/>
        <w:rPr>
          <w:szCs w:val="24"/>
        </w:rPr>
      </w:pPr>
      <w:r>
        <w:rPr>
          <w:noProof/>
        </w:rPr>
        <w:drawing>
          <wp:inline distT="0" distB="0" distL="0" distR="0">
            <wp:extent cx="5886450" cy="2914650"/>
            <wp:effectExtent l="1905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B10CE" w:rsidRPr="00F1088B" w:rsidRDefault="005B10CE" w:rsidP="002161C5">
      <w:pPr>
        <w:rPr>
          <w:color w:val="FF0000"/>
          <w:szCs w:val="24"/>
        </w:rPr>
      </w:pPr>
    </w:p>
    <w:p w:rsidR="005B10CE" w:rsidRPr="00B5040B" w:rsidRDefault="005B10CE" w:rsidP="002161C5">
      <w:pPr>
        <w:ind w:firstLine="709"/>
        <w:jc w:val="both"/>
        <w:rPr>
          <w:szCs w:val="24"/>
        </w:rPr>
      </w:pPr>
      <w:r w:rsidRPr="00B5040B">
        <w:rPr>
          <w:szCs w:val="24"/>
        </w:rPr>
        <w:t>В прогнозном периоде 2015-2016 годов ситуация в структуре инвестиций по источникам финансирования изменится в сторону увеличения собственных средств, направляемых предприятиями на развитие: на долю собственных сре</w:t>
      </w:r>
      <w:proofErr w:type="gramStart"/>
      <w:r w:rsidRPr="00B5040B">
        <w:rPr>
          <w:szCs w:val="24"/>
        </w:rPr>
        <w:t>дств пр</w:t>
      </w:r>
      <w:proofErr w:type="gramEnd"/>
      <w:r w:rsidRPr="00B5040B">
        <w:rPr>
          <w:szCs w:val="24"/>
        </w:rPr>
        <w:t>едприятий будет приходиться 82,5%</w:t>
      </w:r>
      <w:r w:rsidR="00380B82">
        <w:rPr>
          <w:szCs w:val="24"/>
        </w:rPr>
        <w:t xml:space="preserve"> </w:t>
      </w:r>
      <w:r w:rsidRPr="00B5040B">
        <w:rPr>
          <w:szCs w:val="24"/>
        </w:rPr>
        <w:t>-</w:t>
      </w:r>
      <w:r w:rsidR="00380B82">
        <w:rPr>
          <w:szCs w:val="24"/>
        </w:rPr>
        <w:t xml:space="preserve"> </w:t>
      </w:r>
      <w:r w:rsidRPr="00B5040B">
        <w:rPr>
          <w:szCs w:val="24"/>
        </w:rPr>
        <w:t>86%, на долю привлеченных средств 17%</w:t>
      </w:r>
      <w:r w:rsidR="00380B82">
        <w:rPr>
          <w:szCs w:val="24"/>
        </w:rPr>
        <w:t xml:space="preserve"> </w:t>
      </w:r>
      <w:r w:rsidRPr="00B5040B">
        <w:rPr>
          <w:szCs w:val="24"/>
        </w:rPr>
        <w:t>-</w:t>
      </w:r>
      <w:r w:rsidR="00380B82">
        <w:rPr>
          <w:szCs w:val="24"/>
        </w:rPr>
        <w:t xml:space="preserve"> </w:t>
      </w:r>
      <w:r w:rsidRPr="00B5040B">
        <w:rPr>
          <w:szCs w:val="24"/>
        </w:rPr>
        <w:t>14%.</w:t>
      </w:r>
    </w:p>
    <w:p w:rsidR="005B10CE" w:rsidRPr="00003EDF" w:rsidRDefault="005B10CE" w:rsidP="00003EDF">
      <w:pPr>
        <w:pStyle w:val="a3"/>
        <w:spacing w:after="0"/>
        <w:ind w:firstLine="708"/>
        <w:jc w:val="both"/>
        <w:rPr>
          <w:szCs w:val="24"/>
        </w:rPr>
      </w:pPr>
      <w:r w:rsidRPr="00922A4F">
        <w:rPr>
          <w:szCs w:val="24"/>
        </w:rPr>
        <w:t>По видам экономической деятельности значительный объем инвестиций в основной капитал крупных и средних предприятий Белоярского района за 2013 год пришелся на добычу полезных ископаемых, в частности</w:t>
      </w:r>
      <w:r w:rsidR="006D7699">
        <w:rPr>
          <w:szCs w:val="24"/>
        </w:rPr>
        <w:t>,</w:t>
      </w:r>
      <w:r w:rsidRPr="00922A4F">
        <w:rPr>
          <w:szCs w:val="24"/>
        </w:rPr>
        <w:t xml:space="preserve"> добыча сырой нефти и нефтяного (попутного) газа (45%). Это связано с активной разработкой нефтяных месторождений. На втором месте – строительство (25%), на третьем - транспорт и связь</w:t>
      </w:r>
      <w:r w:rsidR="00380B82">
        <w:rPr>
          <w:szCs w:val="24"/>
        </w:rPr>
        <w:t xml:space="preserve"> </w:t>
      </w:r>
      <w:r w:rsidRPr="00922A4F">
        <w:rPr>
          <w:szCs w:val="24"/>
        </w:rPr>
        <w:t>(18%).</w:t>
      </w:r>
    </w:p>
    <w:p w:rsidR="005B10CE" w:rsidRPr="00922A4F" w:rsidRDefault="005B10CE" w:rsidP="002161C5">
      <w:pPr>
        <w:pStyle w:val="a3"/>
        <w:tabs>
          <w:tab w:val="left" w:pos="540"/>
        </w:tabs>
        <w:spacing w:after="0"/>
        <w:ind w:firstLine="540"/>
        <w:jc w:val="right"/>
        <w:rPr>
          <w:szCs w:val="24"/>
        </w:rPr>
      </w:pPr>
      <w:r w:rsidRPr="00922A4F">
        <w:rPr>
          <w:szCs w:val="24"/>
        </w:rPr>
        <w:lastRenderedPageBreak/>
        <w:t>Диаграмма 9</w:t>
      </w:r>
    </w:p>
    <w:p w:rsidR="005B10CE" w:rsidRPr="00F1088B" w:rsidRDefault="005B10CE" w:rsidP="002161C5">
      <w:pPr>
        <w:jc w:val="center"/>
        <w:rPr>
          <w:color w:val="FF0000"/>
          <w:szCs w:val="24"/>
        </w:rPr>
      </w:pPr>
      <w:r w:rsidRPr="00F1088B">
        <w:rPr>
          <w:noProof/>
          <w:color w:val="FF0000"/>
          <w:szCs w:val="24"/>
        </w:rPr>
        <w:drawing>
          <wp:inline distT="0" distB="0" distL="0" distR="0">
            <wp:extent cx="5810250" cy="2495550"/>
            <wp:effectExtent l="1905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B10CE" w:rsidRPr="00F1088B" w:rsidRDefault="005B10CE" w:rsidP="002161C5">
      <w:pPr>
        <w:jc w:val="center"/>
        <w:rPr>
          <w:color w:val="FF0000"/>
          <w:szCs w:val="24"/>
        </w:rPr>
      </w:pPr>
    </w:p>
    <w:p w:rsidR="005B10CE" w:rsidRPr="00922A4F" w:rsidRDefault="005B10CE" w:rsidP="002161C5">
      <w:pPr>
        <w:pStyle w:val="a3"/>
        <w:spacing w:after="0"/>
        <w:ind w:firstLine="708"/>
        <w:jc w:val="both"/>
        <w:rPr>
          <w:szCs w:val="24"/>
        </w:rPr>
      </w:pPr>
      <w:proofErr w:type="gramStart"/>
      <w:r w:rsidRPr="00922A4F">
        <w:rPr>
          <w:szCs w:val="24"/>
        </w:rPr>
        <w:t>По оценке</w:t>
      </w:r>
      <w:r w:rsidR="0052051D">
        <w:rPr>
          <w:szCs w:val="24"/>
        </w:rPr>
        <w:t>,</w:t>
      </w:r>
      <w:r w:rsidRPr="00922A4F">
        <w:rPr>
          <w:szCs w:val="24"/>
        </w:rPr>
        <w:t xml:space="preserve"> в 2014 году значительный объем инвестиций ожидается на предприятиях, ведущих  добычу полезных ископаемых (</w:t>
      </w:r>
      <w:r>
        <w:rPr>
          <w:szCs w:val="24"/>
        </w:rPr>
        <w:t>71</w:t>
      </w:r>
      <w:r w:rsidRPr="00922A4F">
        <w:rPr>
          <w:szCs w:val="24"/>
        </w:rPr>
        <w:t>%), на транспорт и связь придется  9,</w:t>
      </w:r>
      <w:r>
        <w:rPr>
          <w:szCs w:val="24"/>
        </w:rPr>
        <w:t>3</w:t>
      </w:r>
      <w:r w:rsidRPr="00922A4F">
        <w:rPr>
          <w:szCs w:val="24"/>
        </w:rPr>
        <w:t xml:space="preserve"> %, строительство – </w:t>
      </w:r>
      <w:r>
        <w:rPr>
          <w:szCs w:val="24"/>
        </w:rPr>
        <w:t>12,7</w:t>
      </w:r>
      <w:r w:rsidRPr="00922A4F">
        <w:rPr>
          <w:szCs w:val="24"/>
        </w:rPr>
        <w:t>%. В 2015 году значительный объем инвестиций в основной капитал крупных и средних предприятий Белоярского района по видам экономической деятельности прогнозируется на добычу полезных ископаемых, в частности</w:t>
      </w:r>
      <w:r w:rsidR="0052051D">
        <w:rPr>
          <w:szCs w:val="24"/>
        </w:rPr>
        <w:t>,</w:t>
      </w:r>
      <w:r w:rsidRPr="00922A4F">
        <w:rPr>
          <w:szCs w:val="24"/>
        </w:rPr>
        <w:t xml:space="preserve"> добычу сырой нефти и нефтяного (попутного) газа (79,8%), на втором</w:t>
      </w:r>
      <w:proofErr w:type="gramEnd"/>
      <w:r w:rsidR="00380B82">
        <w:rPr>
          <w:szCs w:val="24"/>
        </w:rPr>
        <w:t xml:space="preserve"> </w:t>
      </w:r>
      <w:proofErr w:type="gramStart"/>
      <w:r w:rsidRPr="00922A4F">
        <w:rPr>
          <w:szCs w:val="24"/>
        </w:rPr>
        <w:t>месте</w:t>
      </w:r>
      <w:proofErr w:type="gramEnd"/>
      <w:r w:rsidRPr="00922A4F">
        <w:rPr>
          <w:szCs w:val="24"/>
        </w:rPr>
        <w:t xml:space="preserve"> – строительство (9,1%).</w:t>
      </w:r>
    </w:p>
    <w:p w:rsidR="005B10CE" w:rsidRPr="009D4E25" w:rsidRDefault="005B10CE" w:rsidP="002161C5">
      <w:pPr>
        <w:pStyle w:val="a3"/>
        <w:tabs>
          <w:tab w:val="left" w:pos="540"/>
        </w:tabs>
        <w:spacing w:after="0"/>
        <w:ind w:firstLine="709"/>
        <w:jc w:val="both"/>
        <w:rPr>
          <w:szCs w:val="24"/>
        </w:rPr>
      </w:pPr>
      <w:r w:rsidRPr="009D4E25">
        <w:rPr>
          <w:szCs w:val="24"/>
        </w:rPr>
        <w:t>Значительный  темп роста объемов инвестиций в основной капитал за счет всех источников финансирования по крупным и средним  предприятиям ожидается в 201</w:t>
      </w:r>
      <w:r w:rsidR="0052051D">
        <w:rPr>
          <w:szCs w:val="24"/>
        </w:rPr>
        <w:t>5-2017 годах. К 2017 году объем</w:t>
      </w:r>
      <w:r w:rsidRPr="009D4E25">
        <w:rPr>
          <w:szCs w:val="24"/>
        </w:rPr>
        <w:t xml:space="preserve"> инвестиций в основной капитал за счет всех источников финансирования по крупным</w:t>
      </w:r>
      <w:r w:rsidR="0052051D">
        <w:rPr>
          <w:szCs w:val="24"/>
        </w:rPr>
        <w:t xml:space="preserve"> и средним  предприятиям состави</w:t>
      </w:r>
      <w:r w:rsidRPr="009D4E25">
        <w:rPr>
          <w:szCs w:val="24"/>
        </w:rPr>
        <w:t>т 26 357,7 млн. рублей или 111,3% в сопоставимых ценах к уровню 2016 года.</w:t>
      </w:r>
    </w:p>
    <w:p w:rsidR="005B10CE" w:rsidRPr="00F1088B" w:rsidRDefault="005B10CE" w:rsidP="002161C5">
      <w:pPr>
        <w:rPr>
          <w:i/>
          <w:color w:val="FF0000"/>
          <w:szCs w:val="24"/>
        </w:rPr>
      </w:pPr>
    </w:p>
    <w:p w:rsidR="008B725F" w:rsidRPr="00003EDF" w:rsidRDefault="005B10CE" w:rsidP="00003EDF">
      <w:pPr>
        <w:ind w:firstLine="709"/>
        <w:rPr>
          <w:b/>
          <w:i/>
          <w:szCs w:val="24"/>
        </w:rPr>
      </w:pPr>
      <w:r w:rsidRPr="00003EDF">
        <w:rPr>
          <w:b/>
          <w:i/>
          <w:szCs w:val="24"/>
        </w:rPr>
        <w:t>Инвестиции в сфере добычи полезных ископаемых</w:t>
      </w:r>
    </w:p>
    <w:p w:rsidR="005B10CE" w:rsidRPr="009D4E25" w:rsidRDefault="005B10CE" w:rsidP="002161C5">
      <w:pPr>
        <w:ind w:firstLine="709"/>
        <w:jc w:val="both"/>
        <w:rPr>
          <w:szCs w:val="24"/>
        </w:rPr>
      </w:pPr>
      <w:r w:rsidRPr="009D4E25">
        <w:rPr>
          <w:szCs w:val="24"/>
        </w:rPr>
        <w:t>В 2013 году объем инвестиций, вложенных в топливно-энергетическую отрасль, составил 3 440,91 млн. рублей.</w:t>
      </w:r>
    </w:p>
    <w:p w:rsidR="005B10CE" w:rsidRPr="009D4E25" w:rsidRDefault="005B10CE" w:rsidP="002161C5">
      <w:pPr>
        <w:jc w:val="both"/>
        <w:rPr>
          <w:szCs w:val="24"/>
        </w:rPr>
      </w:pPr>
      <w:r w:rsidRPr="009D4E25">
        <w:rPr>
          <w:szCs w:val="24"/>
        </w:rPr>
        <w:t xml:space="preserve">         По предварительной оценке в 2014 году объем инвестиций в сфере добычи полезных ископаемых </w:t>
      </w:r>
      <w:r w:rsidRPr="00C42E84">
        <w:rPr>
          <w:szCs w:val="24"/>
        </w:rPr>
        <w:t>увеличится</w:t>
      </w:r>
      <w:r w:rsidRPr="009D4E25">
        <w:rPr>
          <w:szCs w:val="24"/>
        </w:rPr>
        <w:t xml:space="preserve"> в 3,</w:t>
      </w:r>
      <w:r>
        <w:rPr>
          <w:szCs w:val="24"/>
        </w:rPr>
        <w:t>2</w:t>
      </w:r>
      <w:r w:rsidRPr="009D4E25">
        <w:rPr>
          <w:szCs w:val="24"/>
        </w:rPr>
        <w:t xml:space="preserve"> раза </w:t>
      </w:r>
      <w:r w:rsidR="00C42E84">
        <w:rPr>
          <w:szCs w:val="24"/>
        </w:rPr>
        <w:t xml:space="preserve">к уровню 2013 года </w:t>
      </w:r>
      <w:r w:rsidRPr="009D4E25">
        <w:rPr>
          <w:szCs w:val="24"/>
        </w:rPr>
        <w:t>и составит 1</w:t>
      </w:r>
      <w:r>
        <w:rPr>
          <w:szCs w:val="24"/>
        </w:rPr>
        <w:t>1 057,6</w:t>
      </w:r>
      <w:r w:rsidRPr="009D4E25">
        <w:rPr>
          <w:szCs w:val="24"/>
        </w:rPr>
        <w:t xml:space="preserve"> млн. рублей.</w:t>
      </w:r>
      <w:r w:rsidR="00380B82">
        <w:rPr>
          <w:szCs w:val="24"/>
        </w:rPr>
        <w:t xml:space="preserve"> </w:t>
      </w:r>
      <w:r w:rsidRPr="009D4E25">
        <w:rPr>
          <w:szCs w:val="24"/>
        </w:rPr>
        <w:t>В прогнозном 2015 году объем инвестиций  в сфере добычи полезных ископаемых увеличится в 1,</w:t>
      </w:r>
      <w:r>
        <w:rPr>
          <w:szCs w:val="24"/>
        </w:rPr>
        <w:t>5</w:t>
      </w:r>
      <w:r w:rsidRPr="009D4E25">
        <w:rPr>
          <w:szCs w:val="24"/>
        </w:rPr>
        <w:t xml:space="preserve"> раза и составит 18 174,1 млн</w:t>
      </w:r>
      <w:proofErr w:type="gramStart"/>
      <w:r w:rsidRPr="009D4E25">
        <w:rPr>
          <w:szCs w:val="24"/>
        </w:rPr>
        <w:t>.р</w:t>
      </w:r>
      <w:proofErr w:type="gramEnd"/>
      <w:r w:rsidRPr="009D4E25">
        <w:rPr>
          <w:szCs w:val="24"/>
        </w:rPr>
        <w:t xml:space="preserve">уб. В прогнозируемых 2016-2017 годах объемы капиталовложений в данную отрасль составят 17 935,4 млн. руб. и </w:t>
      </w:r>
      <w:r>
        <w:rPr>
          <w:szCs w:val="24"/>
        </w:rPr>
        <w:t>21</w:t>
      </w:r>
      <w:r w:rsidR="00380B82">
        <w:rPr>
          <w:szCs w:val="24"/>
        </w:rPr>
        <w:t xml:space="preserve"> </w:t>
      </w:r>
      <w:r>
        <w:rPr>
          <w:szCs w:val="24"/>
        </w:rPr>
        <w:t>283</w:t>
      </w:r>
      <w:r w:rsidRPr="009D4E25">
        <w:rPr>
          <w:szCs w:val="24"/>
        </w:rPr>
        <w:t xml:space="preserve"> млн.руб. соответственно.</w:t>
      </w:r>
    </w:p>
    <w:p w:rsidR="005B10CE" w:rsidRDefault="005B10CE" w:rsidP="002161C5">
      <w:pPr>
        <w:ind w:firstLine="709"/>
        <w:jc w:val="both"/>
        <w:rPr>
          <w:szCs w:val="24"/>
        </w:rPr>
      </w:pPr>
      <w:r w:rsidRPr="00A457FA">
        <w:rPr>
          <w:szCs w:val="24"/>
        </w:rPr>
        <w:t xml:space="preserve">Рост инвестиций связан с активной разработкой, обустройством нефтяных месторождений на территории Белоярского района. </w:t>
      </w:r>
    </w:p>
    <w:p w:rsidR="000A1EA9" w:rsidRPr="00017F9E" w:rsidRDefault="000A1EA9" w:rsidP="000A1EA9">
      <w:pPr>
        <w:ind w:firstLine="709"/>
        <w:jc w:val="both"/>
      </w:pPr>
      <w:r w:rsidRPr="00017F9E">
        <w:t xml:space="preserve">ОАО «РИТЭК» принята  инвестиционная   программа   с   объемом капитальных  вложений 17 млрд. рублей  до  2016 года, что в перспективе позволит увеличить объемы добычи нефти.  </w:t>
      </w:r>
    </w:p>
    <w:p w:rsidR="005B10CE" w:rsidRPr="00A457FA" w:rsidRDefault="005B10CE" w:rsidP="002161C5">
      <w:pPr>
        <w:ind w:firstLine="709"/>
        <w:jc w:val="both"/>
        <w:rPr>
          <w:szCs w:val="24"/>
        </w:rPr>
      </w:pPr>
      <w:r w:rsidRPr="00A457FA">
        <w:rPr>
          <w:szCs w:val="24"/>
        </w:rPr>
        <w:t xml:space="preserve">В 2014-2017 годах ОАО «Сургутнефтегаз» планирует значительные инвестиционные вложения в строительство дорожной инфраструктуры. В 2014 году ведется строительство автодороги, мостовых переходов от насосной станции </w:t>
      </w:r>
      <w:proofErr w:type="spellStart"/>
      <w:r w:rsidRPr="00A457FA">
        <w:rPr>
          <w:szCs w:val="24"/>
        </w:rPr>
        <w:t>Ватлорского</w:t>
      </w:r>
      <w:proofErr w:type="spellEnd"/>
      <w:r w:rsidRPr="00A457FA">
        <w:rPr>
          <w:szCs w:val="24"/>
        </w:rPr>
        <w:t xml:space="preserve"> нефтяного месторождения до насосной станции Логачевского месторождения.</w:t>
      </w:r>
    </w:p>
    <w:p w:rsidR="005B10CE" w:rsidRPr="00F1088B" w:rsidRDefault="005B10CE" w:rsidP="002161C5">
      <w:pPr>
        <w:ind w:firstLine="709"/>
        <w:jc w:val="both"/>
        <w:rPr>
          <w:color w:val="FF0000"/>
          <w:szCs w:val="24"/>
        </w:rPr>
      </w:pPr>
    </w:p>
    <w:p w:rsidR="008B725F" w:rsidRPr="00003EDF" w:rsidRDefault="005B10CE" w:rsidP="00003EDF">
      <w:pPr>
        <w:ind w:firstLine="709"/>
        <w:rPr>
          <w:b/>
          <w:i/>
          <w:szCs w:val="24"/>
        </w:rPr>
      </w:pPr>
      <w:r w:rsidRPr="00003EDF">
        <w:rPr>
          <w:b/>
          <w:i/>
          <w:szCs w:val="24"/>
        </w:rPr>
        <w:t>Инвест</w:t>
      </w:r>
      <w:r w:rsidR="00003EDF">
        <w:rPr>
          <w:b/>
          <w:i/>
          <w:szCs w:val="24"/>
        </w:rPr>
        <w:t>иции в сфере транспорта и связи</w:t>
      </w:r>
    </w:p>
    <w:p w:rsidR="005B10CE" w:rsidRPr="00A457FA" w:rsidRDefault="005B10CE" w:rsidP="002161C5">
      <w:pPr>
        <w:pStyle w:val="a3"/>
        <w:spacing w:after="0"/>
        <w:ind w:firstLine="720"/>
        <w:jc w:val="both"/>
        <w:rPr>
          <w:szCs w:val="24"/>
        </w:rPr>
      </w:pPr>
      <w:r w:rsidRPr="00A457FA">
        <w:rPr>
          <w:szCs w:val="24"/>
        </w:rPr>
        <w:t xml:space="preserve">В условиях необходимости диверсификации экономики района развитие транспортной инфраструктуры останется приоритетной. В 2013 году в рамках программы «Сотрудничество» на территории Белоярского района введена автомобильная дорога </w:t>
      </w:r>
      <w:r w:rsidRPr="00A457FA">
        <w:rPr>
          <w:szCs w:val="24"/>
        </w:rPr>
        <w:lastRenderedPageBreak/>
        <w:t xml:space="preserve">«Югорск – Советский – Верхнеказымский – Надым, граница Ханты-Мансийского автономного округа – Югры». Общая протяженность двух пусковых участков дороги –31,676 км. </w:t>
      </w:r>
      <w:r w:rsidRPr="003F020E">
        <w:rPr>
          <w:szCs w:val="24"/>
        </w:rPr>
        <w:t xml:space="preserve">На строительство дороги </w:t>
      </w:r>
      <w:r w:rsidR="003F020E" w:rsidRPr="003F020E">
        <w:rPr>
          <w:szCs w:val="24"/>
        </w:rPr>
        <w:t xml:space="preserve">в 2013 году </w:t>
      </w:r>
      <w:r w:rsidRPr="003F020E">
        <w:rPr>
          <w:szCs w:val="24"/>
        </w:rPr>
        <w:t>было направлено 661,9 млн. рублей. Ввод дороги обеспечил транспортное сообщение Югры и Ямала с сетью автомобильных дорог</w:t>
      </w:r>
      <w:r w:rsidRPr="00A457FA">
        <w:rPr>
          <w:szCs w:val="24"/>
        </w:rPr>
        <w:t xml:space="preserve"> Российской Федерации в целом. </w:t>
      </w:r>
    </w:p>
    <w:p w:rsidR="005B10CE" w:rsidRPr="00A457FA" w:rsidRDefault="005B10CE" w:rsidP="002161C5">
      <w:pPr>
        <w:pStyle w:val="a3"/>
        <w:spacing w:after="0"/>
        <w:ind w:firstLine="720"/>
        <w:jc w:val="both"/>
        <w:rPr>
          <w:szCs w:val="24"/>
        </w:rPr>
      </w:pPr>
      <w:r w:rsidRPr="00A457FA">
        <w:rPr>
          <w:szCs w:val="24"/>
        </w:rPr>
        <w:t>Кроме того, в рамках программы «Сотрудничество» проведена реконструкция участка подъездной автомобильной дороги к городу Белоярский (20-36 км)</w:t>
      </w:r>
      <w:r w:rsidR="003F020E">
        <w:rPr>
          <w:szCs w:val="24"/>
        </w:rPr>
        <w:t xml:space="preserve">, объем финансирования работ составил </w:t>
      </w:r>
      <w:r w:rsidRPr="00A457FA">
        <w:rPr>
          <w:szCs w:val="24"/>
        </w:rPr>
        <w:t xml:space="preserve"> 245,3 млн. руб.</w:t>
      </w:r>
    </w:p>
    <w:p w:rsidR="004E7C0A" w:rsidRDefault="005B10CE" w:rsidP="002161C5">
      <w:pPr>
        <w:pStyle w:val="a3"/>
        <w:spacing w:after="0"/>
        <w:ind w:firstLine="720"/>
        <w:jc w:val="both"/>
        <w:rPr>
          <w:szCs w:val="24"/>
        </w:rPr>
      </w:pPr>
      <w:r w:rsidRPr="00A457FA">
        <w:rPr>
          <w:szCs w:val="24"/>
        </w:rPr>
        <w:t xml:space="preserve">Одним из примеров государственного частного партнерства является Соглашение с ОАО "Газпром". </w:t>
      </w:r>
      <w:proofErr w:type="gramStart"/>
      <w:r w:rsidRPr="00A457FA">
        <w:rPr>
          <w:szCs w:val="24"/>
        </w:rPr>
        <w:t>Общество с ограниченной ответственностью «Газпром трансгаз</w:t>
      </w:r>
      <w:r w:rsidR="003F020E">
        <w:rPr>
          <w:szCs w:val="24"/>
        </w:rPr>
        <w:t xml:space="preserve"> </w:t>
      </w:r>
      <w:r w:rsidRPr="00A457FA">
        <w:rPr>
          <w:szCs w:val="24"/>
        </w:rPr>
        <w:t>Югорск», осуществляющее деятельность на территории Белоярского района принимает активное участие в финансировании строительства автомобильной дороги к поселку Сосновка (автомобильная дорога «Югорск – Советский – Верхнеказымский – Надым, граница Ханты-Мансийского автономного округа – Югры» (участок км 474,7-км 488,9</w:t>
      </w:r>
      <w:r w:rsidRPr="00D92907">
        <w:rPr>
          <w:szCs w:val="24"/>
        </w:rPr>
        <w:t>).</w:t>
      </w:r>
      <w:proofErr w:type="gramEnd"/>
      <w:r w:rsidRPr="00D92907">
        <w:rPr>
          <w:szCs w:val="24"/>
        </w:rPr>
        <w:t xml:space="preserve"> </w:t>
      </w:r>
      <w:r w:rsidR="00D92907" w:rsidRPr="00D92907">
        <w:rPr>
          <w:rFonts w:eastAsia="Calibri"/>
          <w:szCs w:val="24"/>
        </w:rPr>
        <w:t xml:space="preserve">В 2014 </w:t>
      </w:r>
      <w:r w:rsidR="003F020E">
        <w:rPr>
          <w:rFonts w:eastAsia="Calibri"/>
          <w:szCs w:val="24"/>
        </w:rPr>
        <w:t>продолжается строительство дороги до п</w:t>
      </w:r>
      <w:proofErr w:type="gramStart"/>
      <w:r w:rsidR="003F020E">
        <w:rPr>
          <w:rFonts w:eastAsia="Calibri"/>
          <w:szCs w:val="24"/>
        </w:rPr>
        <w:t>.С</w:t>
      </w:r>
      <w:proofErr w:type="gramEnd"/>
      <w:r w:rsidR="003F020E">
        <w:rPr>
          <w:rFonts w:eastAsia="Calibri"/>
          <w:szCs w:val="24"/>
        </w:rPr>
        <w:t xml:space="preserve">основка (489 км – 474 км), срок окончание – декабрь 2015 года. </w:t>
      </w:r>
      <w:r w:rsidRPr="00A457FA">
        <w:rPr>
          <w:szCs w:val="24"/>
        </w:rPr>
        <w:t xml:space="preserve"> </w:t>
      </w:r>
    </w:p>
    <w:p w:rsidR="005B10CE" w:rsidRPr="00A457FA" w:rsidRDefault="005B10CE" w:rsidP="002161C5">
      <w:pPr>
        <w:pStyle w:val="a3"/>
        <w:spacing w:after="0"/>
        <w:ind w:firstLine="720"/>
        <w:jc w:val="both"/>
        <w:rPr>
          <w:szCs w:val="24"/>
        </w:rPr>
      </w:pPr>
      <w:r w:rsidRPr="00A457FA">
        <w:rPr>
          <w:szCs w:val="24"/>
        </w:rPr>
        <w:t xml:space="preserve">По программе «Развитие, совершенствование сети автомобильных дорог в Белоярском районе» на 2011-2013 годы в 2013 году закончено строительство объездной автомобильной дороги в г. </w:t>
      </w:r>
      <w:proofErr w:type="gramStart"/>
      <w:r w:rsidRPr="00A457FA">
        <w:rPr>
          <w:szCs w:val="24"/>
        </w:rPr>
        <w:t>Белоярский</w:t>
      </w:r>
      <w:proofErr w:type="gramEnd"/>
      <w:r w:rsidRPr="00A457FA">
        <w:rPr>
          <w:szCs w:val="24"/>
        </w:rPr>
        <w:t>. Строительство объездной автомобильной дороги осуществлялось на условиях софинансирования 95 % - средства бюджета автономного округа, 5 % - средства бюджета Белоярского района. Объем финансирования строительных работ составил 70,1 млн. рублей, в том числе за счет средств бюджета – 3,5 млн. рублей.</w:t>
      </w:r>
    </w:p>
    <w:p w:rsidR="005B10CE" w:rsidRPr="00A457FA" w:rsidRDefault="005B10CE" w:rsidP="002161C5">
      <w:pPr>
        <w:pStyle w:val="a3"/>
        <w:spacing w:after="0"/>
        <w:ind w:firstLine="720"/>
        <w:jc w:val="both"/>
        <w:rPr>
          <w:szCs w:val="24"/>
        </w:rPr>
      </w:pPr>
      <w:r w:rsidRPr="00A457FA">
        <w:rPr>
          <w:szCs w:val="24"/>
        </w:rPr>
        <w:t xml:space="preserve">В рамках данной программы закончен 1 этап реконструкции автомобильной дороги в г. Белоярский (перекресток ул. Молодости - ул. Центральная до перекрестка ул. Боковая - микрорайон Геолог). На реконструкцию данной дороги было направлено 35,37 млн. рублей, в том числе за счет средств бюджета Белоярского района 4,45 млн. рублей. </w:t>
      </w:r>
    </w:p>
    <w:p w:rsidR="005B10CE" w:rsidRPr="00A457FA" w:rsidRDefault="005B10CE" w:rsidP="002161C5">
      <w:pPr>
        <w:pStyle w:val="a3"/>
        <w:spacing w:after="0"/>
        <w:ind w:firstLine="720"/>
        <w:jc w:val="both"/>
        <w:rPr>
          <w:szCs w:val="24"/>
        </w:rPr>
      </w:pPr>
      <w:proofErr w:type="gramStart"/>
      <w:r w:rsidRPr="00A457FA">
        <w:rPr>
          <w:szCs w:val="24"/>
        </w:rPr>
        <w:t>В  2013 году начаты работы по реконструкции автомобильной дороги в с. Полноват, на эти цели за счет средств бюджета выделено 18,7 млн. рублей.</w:t>
      </w:r>
      <w:proofErr w:type="gramEnd"/>
      <w:r w:rsidRPr="00A457FA">
        <w:rPr>
          <w:szCs w:val="24"/>
        </w:rPr>
        <w:t xml:space="preserve">  В </w:t>
      </w:r>
      <w:r w:rsidR="004E7C0A">
        <w:rPr>
          <w:szCs w:val="24"/>
        </w:rPr>
        <w:t>настоящее время</w:t>
      </w:r>
      <w:r w:rsidRPr="00A457FA">
        <w:rPr>
          <w:szCs w:val="24"/>
        </w:rPr>
        <w:t xml:space="preserve"> полностью выполнены работы по устройству </w:t>
      </w:r>
      <w:r>
        <w:rPr>
          <w:szCs w:val="24"/>
        </w:rPr>
        <w:t>дороги</w:t>
      </w:r>
      <w:r w:rsidRPr="00A457FA">
        <w:rPr>
          <w:szCs w:val="24"/>
        </w:rPr>
        <w:t xml:space="preserve">. </w:t>
      </w:r>
    </w:p>
    <w:p w:rsidR="005B10CE" w:rsidRPr="00E854CF" w:rsidRDefault="005B10CE" w:rsidP="002161C5">
      <w:pPr>
        <w:pStyle w:val="a3"/>
        <w:tabs>
          <w:tab w:val="left" w:pos="709"/>
        </w:tabs>
        <w:spacing w:after="0"/>
        <w:ind w:firstLine="709"/>
        <w:jc w:val="both"/>
        <w:rPr>
          <w:szCs w:val="24"/>
        </w:rPr>
      </w:pPr>
      <w:r w:rsidRPr="00E854CF">
        <w:rPr>
          <w:szCs w:val="24"/>
        </w:rPr>
        <w:t xml:space="preserve">Также одной из актуальных проблем для Белоярского района по развитию инфраструктуры является транспортная развязка на участке п. </w:t>
      </w:r>
      <w:proofErr w:type="spellStart"/>
      <w:r w:rsidRPr="00E854CF">
        <w:rPr>
          <w:szCs w:val="24"/>
        </w:rPr>
        <w:t>Андра</w:t>
      </w:r>
      <w:proofErr w:type="spellEnd"/>
      <w:r w:rsidRPr="00E854CF">
        <w:rPr>
          <w:szCs w:val="24"/>
        </w:rPr>
        <w:t xml:space="preserve"> - </w:t>
      </w:r>
      <w:proofErr w:type="spellStart"/>
      <w:r w:rsidRPr="00E854CF">
        <w:rPr>
          <w:szCs w:val="24"/>
        </w:rPr>
        <w:t>пгт</w:t>
      </w:r>
      <w:proofErr w:type="spellEnd"/>
      <w:r w:rsidRPr="00E854CF">
        <w:rPr>
          <w:szCs w:val="24"/>
        </w:rPr>
        <w:t>. Приобье.  Строительство мостового перехода  через р. Обь  позволит связать сеть автомобильных дорог Белоярского района с другими территориями ХМАО - Югры, а значит и с сетью автомобильных дорог Российской Федерации в целом, что позволит снять проблему отсутствия наземного сообщения в период распутицы. В 2014 году заключен контракт на разработку проекта строительства моста через р</w:t>
      </w:r>
      <w:proofErr w:type="gramStart"/>
      <w:r w:rsidRPr="00E854CF">
        <w:rPr>
          <w:szCs w:val="24"/>
        </w:rPr>
        <w:t>.О</w:t>
      </w:r>
      <w:proofErr w:type="gramEnd"/>
      <w:r w:rsidRPr="00E854CF">
        <w:rPr>
          <w:szCs w:val="24"/>
        </w:rPr>
        <w:t xml:space="preserve">бь. В рамках программы «Сотрудничество» в 2014 году на ПИР выделено 74 864,0 тыс. рублей. </w:t>
      </w:r>
    </w:p>
    <w:p w:rsidR="005B10CE" w:rsidRPr="00F1088B" w:rsidRDefault="005B10CE" w:rsidP="002161C5">
      <w:pPr>
        <w:ind w:firstLine="708"/>
        <w:jc w:val="both"/>
        <w:rPr>
          <w:color w:val="FF0000"/>
          <w:szCs w:val="24"/>
        </w:rPr>
      </w:pPr>
    </w:p>
    <w:p w:rsidR="005B10CE" w:rsidRPr="00003EDF" w:rsidRDefault="005B10CE" w:rsidP="00003EDF">
      <w:pPr>
        <w:ind w:firstLine="709"/>
        <w:rPr>
          <w:b/>
          <w:i/>
          <w:szCs w:val="24"/>
        </w:rPr>
      </w:pPr>
      <w:r w:rsidRPr="00003EDF">
        <w:rPr>
          <w:b/>
          <w:i/>
          <w:szCs w:val="24"/>
        </w:rPr>
        <w:t>Инвестиции  в сфере ж</w:t>
      </w:r>
      <w:r w:rsidR="00003EDF" w:rsidRPr="00003EDF">
        <w:rPr>
          <w:b/>
          <w:i/>
          <w:szCs w:val="24"/>
        </w:rPr>
        <w:t>илищно-коммунального комплекса</w:t>
      </w:r>
    </w:p>
    <w:p w:rsidR="005B10CE" w:rsidRPr="0069306F" w:rsidRDefault="005B10CE" w:rsidP="002161C5">
      <w:pPr>
        <w:pStyle w:val="a3"/>
        <w:spacing w:after="0"/>
        <w:ind w:firstLine="720"/>
        <w:jc w:val="both"/>
        <w:rPr>
          <w:szCs w:val="24"/>
        </w:rPr>
      </w:pPr>
      <w:r w:rsidRPr="0069306F">
        <w:rPr>
          <w:szCs w:val="24"/>
        </w:rPr>
        <w:t xml:space="preserve">В  2013 году </w:t>
      </w:r>
      <w:r w:rsidRPr="0069306F">
        <w:rPr>
          <w:b/>
          <w:szCs w:val="24"/>
        </w:rPr>
        <w:t>на строительство и реконструкцию  объектов ЖКХ</w:t>
      </w:r>
      <w:r w:rsidRPr="0069306F">
        <w:rPr>
          <w:szCs w:val="24"/>
        </w:rPr>
        <w:t xml:space="preserve"> за счет средств автономного округа и бюджета Белоярского района было направлено </w:t>
      </w:r>
      <w:r w:rsidRPr="0069306F">
        <w:rPr>
          <w:b/>
          <w:szCs w:val="24"/>
        </w:rPr>
        <w:t>259,7 млн. рублей,</w:t>
      </w:r>
      <w:r w:rsidRPr="0069306F">
        <w:rPr>
          <w:szCs w:val="24"/>
        </w:rPr>
        <w:t xml:space="preserve"> за счет которых: </w:t>
      </w:r>
    </w:p>
    <w:p w:rsidR="005B10CE" w:rsidRPr="0069306F" w:rsidRDefault="005B10CE" w:rsidP="002161C5">
      <w:pPr>
        <w:pStyle w:val="a3"/>
        <w:spacing w:after="0"/>
        <w:ind w:left="1004"/>
        <w:jc w:val="both"/>
        <w:rPr>
          <w:szCs w:val="24"/>
        </w:rPr>
      </w:pPr>
      <w:r w:rsidRPr="0069306F">
        <w:rPr>
          <w:szCs w:val="24"/>
        </w:rPr>
        <w:t xml:space="preserve">-начато строительство  водоочистных сооружений </w:t>
      </w:r>
      <w:proofErr w:type="gramStart"/>
      <w:r w:rsidRPr="0069306F">
        <w:rPr>
          <w:szCs w:val="24"/>
        </w:rPr>
        <w:t>в</w:t>
      </w:r>
      <w:proofErr w:type="gramEnd"/>
      <w:r w:rsidRPr="0069306F">
        <w:rPr>
          <w:szCs w:val="24"/>
        </w:rPr>
        <w:t xml:space="preserve"> с.п. Сорум;</w:t>
      </w:r>
    </w:p>
    <w:p w:rsidR="005B10CE" w:rsidRPr="0069306F" w:rsidRDefault="005B10CE" w:rsidP="002161C5">
      <w:pPr>
        <w:pStyle w:val="a3"/>
        <w:spacing w:after="0"/>
        <w:ind w:left="1004"/>
        <w:jc w:val="both"/>
        <w:rPr>
          <w:szCs w:val="24"/>
        </w:rPr>
      </w:pPr>
      <w:r w:rsidRPr="0069306F">
        <w:rPr>
          <w:szCs w:val="24"/>
        </w:rPr>
        <w:t xml:space="preserve">-проведены работы по реконструкции сетей ТВС в </w:t>
      </w:r>
      <w:proofErr w:type="spellStart"/>
      <w:r w:rsidRPr="0069306F">
        <w:rPr>
          <w:szCs w:val="24"/>
        </w:rPr>
        <w:t>мкр</w:t>
      </w:r>
      <w:proofErr w:type="spellEnd"/>
      <w:r w:rsidRPr="0069306F">
        <w:rPr>
          <w:szCs w:val="24"/>
        </w:rPr>
        <w:t>. № 3;</w:t>
      </w:r>
    </w:p>
    <w:p w:rsidR="005B10CE" w:rsidRPr="0069306F" w:rsidRDefault="005B10CE" w:rsidP="002161C5">
      <w:pPr>
        <w:pStyle w:val="a3"/>
        <w:spacing w:after="0"/>
        <w:ind w:firstLine="993"/>
        <w:jc w:val="both"/>
        <w:rPr>
          <w:szCs w:val="24"/>
        </w:rPr>
      </w:pPr>
      <w:r w:rsidRPr="0069306F">
        <w:rPr>
          <w:szCs w:val="24"/>
        </w:rPr>
        <w:t>-проводились работы  по строительству инженерных сетей к жилым домам новой застройки (</w:t>
      </w:r>
      <w:proofErr w:type="spellStart"/>
      <w:r w:rsidRPr="0069306F">
        <w:rPr>
          <w:szCs w:val="24"/>
        </w:rPr>
        <w:t>мкр</w:t>
      </w:r>
      <w:proofErr w:type="spellEnd"/>
      <w:r w:rsidRPr="0069306F">
        <w:rPr>
          <w:szCs w:val="24"/>
        </w:rPr>
        <w:t xml:space="preserve">. 3А, </w:t>
      </w:r>
      <w:proofErr w:type="spellStart"/>
      <w:r w:rsidRPr="0069306F">
        <w:rPr>
          <w:szCs w:val="24"/>
        </w:rPr>
        <w:t>мкр</w:t>
      </w:r>
      <w:proofErr w:type="spellEnd"/>
      <w:r w:rsidRPr="0069306F">
        <w:rPr>
          <w:szCs w:val="24"/>
        </w:rPr>
        <w:t>. 5А);</w:t>
      </w:r>
    </w:p>
    <w:p w:rsidR="005B10CE" w:rsidRPr="0069306F" w:rsidRDefault="005B10CE" w:rsidP="002161C5">
      <w:pPr>
        <w:pStyle w:val="a3"/>
        <w:spacing w:after="0"/>
        <w:ind w:firstLine="993"/>
        <w:jc w:val="both"/>
        <w:rPr>
          <w:szCs w:val="24"/>
        </w:rPr>
      </w:pPr>
      <w:r w:rsidRPr="0069306F">
        <w:rPr>
          <w:szCs w:val="24"/>
        </w:rPr>
        <w:t>-проведены работы по реконструкции и капитальному ремонту сетей и объектов коммунальной инфраструктуры.</w:t>
      </w:r>
    </w:p>
    <w:p w:rsidR="005B10CE" w:rsidRPr="0069306F" w:rsidRDefault="005B10CE" w:rsidP="002161C5">
      <w:pPr>
        <w:pStyle w:val="a3"/>
        <w:spacing w:after="0"/>
        <w:ind w:firstLine="720"/>
        <w:jc w:val="both"/>
        <w:rPr>
          <w:szCs w:val="24"/>
        </w:rPr>
      </w:pPr>
      <w:r w:rsidRPr="0069306F">
        <w:rPr>
          <w:szCs w:val="24"/>
        </w:rPr>
        <w:t xml:space="preserve">В рамках соглашения с ОАО «Сургутнефтегаз» в текущем году завершены работы по строительству ВЛЭП в д. Нумто. </w:t>
      </w:r>
    </w:p>
    <w:p w:rsidR="005B10CE" w:rsidRPr="00F1088B" w:rsidRDefault="005B10CE" w:rsidP="002161C5">
      <w:pPr>
        <w:ind w:firstLine="709"/>
        <w:jc w:val="both"/>
        <w:rPr>
          <w:color w:val="FF0000"/>
          <w:szCs w:val="24"/>
        </w:rPr>
      </w:pPr>
    </w:p>
    <w:p w:rsidR="00003EDF" w:rsidRPr="00003EDF" w:rsidRDefault="005B10CE" w:rsidP="00003EDF">
      <w:pPr>
        <w:ind w:firstLine="709"/>
        <w:jc w:val="both"/>
        <w:rPr>
          <w:b/>
          <w:i/>
          <w:szCs w:val="24"/>
        </w:rPr>
      </w:pPr>
      <w:r w:rsidRPr="00003EDF">
        <w:rPr>
          <w:b/>
          <w:i/>
          <w:szCs w:val="24"/>
        </w:rPr>
        <w:lastRenderedPageBreak/>
        <w:t>Инвестиции в социальной сфере</w:t>
      </w:r>
    </w:p>
    <w:p w:rsidR="005B10CE" w:rsidRPr="0069306F" w:rsidRDefault="005B10CE" w:rsidP="002161C5">
      <w:pPr>
        <w:pStyle w:val="a3"/>
        <w:spacing w:after="0"/>
        <w:ind w:firstLine="720"/>
        <w:jc w:val="both"/>
        <w:rPr>
          <w:szCs w:val="24"/>
        </w:rPr>
      </w:pPr>
      <w:r w:rsidRPr="0069306F">
        <w:rPr>
          <w:szCs w:val="24"/>
        </w:rPr>
        <w:t xml:space="preserve">В рамках Соглашения о сотрудничестве между Правительством Ханты-Мансийского автономного округа - Югры и «НК «ЛУКОЙЛ» в 2013 году завершена реконструкция «Этнографического выставочного зала в </w:t>
      </w:r>
      <w:proofErr w:type="spellStart"/>
      <w:r w:rsidRPr="0069306F">
        <w:rPr>
          <w:szCs w:val="24"/>
        </w:rPr>
        <w:t>с</w:t>
      </w:r>
      <w:proofErr w:type="gramStart"/>
      <w:r w:rsidRPr="0069306F">
        <w:rPr>
          <w:szCs w:val="24"/>
        </w:rPr>
        <w:t>.К</w:t>
      </w:r>
      <w:proofErr w:type="gramEnd"/>
      <w:r w:rsidRPr="0069306F">
        <w:rPr>
          <w:szCs w:val="24"/>
        </w:rPr>
        <w:t>азым</w:t>
      </w:r>
      <w:proofErr w:type="spellEnd"/>
      <w:r w:rsidRPr="0069306F">
        <w:rPr>
          <w:szCs w:val="24"/>
        </w:rPr>
        <w:t xml:space="preserve">». </w:t>
      </w:r>
    </w:p>
    <w:p w:rsidR="005B10CE" w:rsidRPr="0069306F" w:rsidRDefault="005B10CE" w:rsidP="002161C5">
      <w:pPr>
        <w:pStyle w:val="a3"/>
        <w:spacing w:after="0"/>
        <w:ind w:firstLine="720"/>
        <w:jc w:val="both"/>
        <w:rPr>
          <w:szCs w:val="24"/>
        </w:rPr>
      </w:pPr>
      <w:r w:rsidRPr="0069306F">
        <w:rPr>
          <w:szCs w:val="24"/>
        </w:rPr>
        <w:t>В рамках целевой программы «Развитие физической культуры и спорта в Ханты-Мансийском автономном округе - Югре» на 2011-2013 годы и на период до 2015 года введен в эксплуатацию спортивный центр с универсальным игровым   залом  в с</w:t>
      </w:r>
      <w:proofErr w:type="gramStart"/>
      <w:r w:rsidRPr="0069306F">
        <w:rPr>
          <w:szCs w:val="24"/>
        </w:rPr>
        <w:t>.П</w:t>
      </w:r>
      <w:proofErr w:type="gramEnd"/>
      <w:r w:rsidRPr="0069306F">
        <w:rPr>
          <w:szCs w:val="24"/>
        </w:rPr>
        <w:t xml:space="preserve">олноват. Объем финансирования объекта составил 95 308,4 тыс. руб., из них средства бюджета Ханты-Мансийского автономного округа – Югры – 89 365,8 млн. руб.,  средств бюджета Белоярского района 5,94 млн. рублей. </w:t>
      </w:r>
    </w:p>
    <w:p w:rsidR="005B10CE" w:rsidRPr="0069306F" w:rsidRDefault="005B10CE" w:rsidP="002161C5">
      <w:pPr>
        <w:pStyle w:val="a3"/>
        <w:spacing w:after="0"/>
        <w:ind w:firstLine="720"/>
        <w:jc w:val="both"/>
        <w:rPr>
          <w:szCs w:val="24"/>
        </w:rPr>
      </w:pPr>
      <w:r w:rsidRPr="0069306F">
        <w:rPr>
          <w:szCs w:val="24"/>
        </w:rPr>
        <w:t>В рамках целевой программы «Дети Югры на 2011-2015 годы», на условиях софинансирования, на территории базы отдыха «Северянка» ведется строительство санаторно-оздоровительного корпуса с плавательным бассейном,  пл</w:t>
      </w:r>
      <w:r w:rsidR="003F020E">
        <w:rPr>
          <w:szCs w:val="24"/>
        </w:rPr>
        <w:t xml:space="preserve">анируемый срок окончания работ </w:t>
      </w:r>
      <w:r w:rsidR="003B169A">
        <w:rPr>
          <w:szCs w:val="24"/>
        </w:rPr>
        <w:t>январь 2015</w:t>
      </w:r>
      <w:r w:rsidRPr="0069306F">
        <w:rPr>
          <w:szCs w:val="24"/>
        </w:rPr>
        <w:t xml:space="preserve"> год</w:t>
      </w:r>
      <w:r w:rsidR="003F020E">
        <w:rPr>
          <w:szCs w:val="24"/>
        </w:rPr>
        <w:t>а</w:t>
      </w:r>
      <w:r w:rsidRPr="0069306F">
        <w:rPr>
          <w:szCs w:val="24"/>
        </w:rPr>
        <w:t xml:space="preserve">. </w:t>
      </w:r>
    </w:p>
    <w:p w:rsidR="00F60731" w:rsidRDefault="005B10CE" w:rsidP="002161C5">
      <w:pPr>
        <w:pStyle w:val="a3"/>
        <w:spacing w:after="0"/>
        <w:ind w:firstLine="720"/>
        <w:jc w:val="both"/>
        <w:rPr>
          <w:szCs w:val="24"/>
        </w:rPr>
      </w:pPr>
      <w:r w:rsidRPr="00A82851">
        <w:rPr>
          <w:szCs w:val="24"/>
        </w:rPr>
        <w:t xml:space="preserve">На территории Белоярского района </w:t>
      </w:r>
      <w:r w:rsidR="00A82851" w:rsidRPr="00A82851">
        <w:rPr>
          <w:szCs w:val="24"/>
        </w:rPr>
        <w:t>закончены работы по реконструкции объект</w:t>
      </w:r>
      <w:r w:rsidR="00A82851">
        <w:rPr>
          <w:szCs w:val="24"/>
        </w:rPr>
        <w:t>а</w:t>
      </w:r>
      <w:r w:rsidR="00A82851" w:rsidRPr="00A82851">
        <w:rPr>
          <w:szCs w:val="24"/>
        </w:rPr>
        <w:t xml:space="preserve"> «</w:t>
      </w:r>
      <w:proofErr w:type="gramStart"/>
      <w:r w:rsidR="00A82851" w:rsidRPr="00A82851">
        <w:rPr>
          <w:szCs w:val="24"/>
        </w:rPr>
        <w:t>Школа-детский</w:t>
      </w:r>
      <w:proofErr w:type="gramEnd"/>
      <w:r w:rsidR="00A82851" w:rsidRPr="00A82851">
        <w:rPr>
          <w:szCs w:val="24"/>
        </w:rPr>
        <w:t xml:space="preserve"> сад» п. Сорум</w:t>
      </w:r>
      <w:r w:rsidR="00781AFB">
        <w:rPr>
          <w:szCs w:val="24"/>
        </w:rPr>
        <w:t>, в</w:t>
      </w:r>
      <w:r w:rsidR="00781AFB" w:rsidRPr="00781AFB">
        <w:rPr>
          <w:szCs w:val="24"/>
        </w:rPr>
        <w:t xml:space="preserve">вод объекта в эксплуатацию - </w:t>
      </w:r>
      <w:r w:rsidR="00F027A2">
        <w:rPr>
          <w:szCs w:val="24"/>
        </w:rPr>
        <w:t>ноябрь</w:t>
      </w:r>
      <w:r w:rsidR="00781AFB" w:rsidRPr="00781AFB">
        <w:rPr>
          <w:szCs w:val="24"/>
        </w:rPr>
        <w:t xml:space="preserve"> 2014 года.</w:t>
      </w:r>
      <w:r w:rsidR="00781AFB">
        <w:rPr>
          <w:szCs w:val="24"/>
        </w:rPr>
        <w:t xml:space="preserve"> </w:t>
      </w:r>
      <w:r w:rsidR="00A82851" w:rsidRPr="00781AFB">
        <w:rPr>
          <w:szCs w:val="24"/>
        </w:rPr>
        <w:t>П</w:t>
      </w:r>
      <w:r w:rsidRPr="00781AFB">
        <w:rPr>
          <w:szCs w:val="24"/>
        </w:rPr>
        <w:t>ро</w:t>
      </w:r>
      <w:r w:rsidR="00A82851" w:rsidRPr="00781AFB">
        <w:rPr>
          <w:szCs w:val="24"/>
        </w:rPr>
        <w:t>должается</w:t>
      </w:r>
      <w:r w:rsidRPr="00781AFB">
        <w:rPr>
          <w:szCs w:val="24"/>
        </w:rPr>
        <w:t xml:space="preserve"> реконструкция образовательн</w:t>
      </w:r>
      <w:r w:rsidR="00A82851" w:rsidRPr="00781AFB">
        <w:rPr>
          <w:szCs w:val="24"/>
        </w:rPr>
        <w:t xml:space="preserve">ого </w:t>
      </w:r>
      <w:r w:rsidRPr="00781AFB">
        <w:rPr>
          <w:szCs w:val="24"/>
        </w:rPr>
        <w:t>учреждени</w:t>
      </w:r>
      <w:r w:rsidR="00A82851" w:rsidRPr="00781AFB">
        <w:rPr>
          <w:szCs w:val="24"/>
        </w:rPr>
        <w:t>я</w:t>
      </w:r>
      <w:r w:rsidRPr="00781AFB">
        <w:rPr>
          <w:szCs w:val="24"/>
        </w:rPr>
        <w:t xml:space="preserve"> в поселк</w:t>
      </w:r>
      <w:r w:rsidR="00A82851" w:rsidRPr="00781AFB">
        <w:rPr>
          <w:szCs w:val="24"/>
        </w:rPr>
        <w:t>е</w:t>
      </w:r>
      <w:r w:rsidRPr="00781AFB">
        <w:rPr>
          <w:szCs w:val="24"/>
        </w:rPr>
        <w:t xml:space="preserve"> Лыхма</w:t>
      </w:r>
      <w:r w:rsidR="00A82851" w:rsidRPr="00781AFB">
        <w:rPr>
          <w:szCs w:val="24"/>
        </w:rPr>
        <w:t xml:space="preserve">, окончание </w:t>
      </w:r>
      <w:r w:rsidR="00781AFB">
        <w:rPr>
          <w:szCs w:val="24"/>
        </w:rPr>
        <w:t xml:space="preserve">работ </w:t>
      </w:r>
      <w:r w:rsidR="00A82851" w:rsidRPr="00781AFB">
        <w:rPr>
          <w:szCs w:val="24"/>
        </w:rPr>
        <w:t>запланировано</w:t>
      </w:r>
      <w:r w:rsidRPr="00781AFB">
        <w:rPr>
          <w:szCs w:val="24"/>
        </w:rPr>
        <w:t xml:space="preserve"> </w:t>
      </w:r>
      <w:r w:rsidR="004D2E1F">
        <w:rPr>
          <w:szCs w:val="24"/>
        </w:rPr>
        <w:t xml:space="preserve">на </w:t>
      </w:r>
      <w:r w:rsidR="00781AFB">
        <w:rPr>
          <w:szCs w:val="24"/>
        </w:rPr>
        <w:t>декабрь</w:t>
      </w:r>
      <w:r w:rsidR="00781AFB" w:rsidRPr="00781AFB">
        <w:rPr>
          <w:szCs w:val="24"/>
        </w:rPr>
        <w:t xml:space="preserve"> 2014 года. </w:t>
      </w:r>
      <w:r w:rsidRPr="00781AFB">
        <w:rPr>
          <w:szCs w:val="24"/>
        </w:rPr>
        <w:t xml:space="preserve">В 2013 году  </w:t>
      </w:r>
      <w:r w:rsidR="00781AFB">
        <w:rPr>
          <w:szCs w:val="24"/>
        </w:rPr>
        <w:t>начаты</w:t>
      </w:r>
      <w:r w:rsidRPr="00781AFB">
        <w:rPr>
          <w:szCs w:val="24"/>
        </w:rPr>
        <w:t xml:space="preserve"> работы по реконструкции объекта «Школа-детский сад» </w:t>
      </w:r>
      <w:proofErr w:type="gramStart"/>
      <w:r w:rsidRPr="00781AFB">
        <w:rPr>
          <w:szCs w:val="24"/>
        </w:rPr>
        <w:t>в</w:t>
      </w:r>
      <w:proofErr w:type="gramEnd"/>
      <w:r w:rsidRPr="00781AFB">
        <w:rPr>
          <w:szCs w:val="24"/>
        </w:rPr>
        <w:t xml:space="preserve"> с. Ванзеват</w:t>
      </w:r>
      <w:r w:rsidR="00F027A2">
        <w:rPr>
          <w:szCs w:val="24"/>
        </w:rPr>
        <w:t>.</w:t>
      </w:r>
      <w:r w:rsidR="00F027A2" w:rsidRPr="00F027A2">
        <w:rPr>
          <w:szCs w:val="24"/>
        </w:rPr>
        <w:t xml:space="preserve"> </w:t>
      </w:r>
      <w:r w:rsidR="00F027A2">
        <w:rPr>
          <w:szCs w:val="24"/>
        </w:rPr>
        <w:t>В</w:t>
      </w:r>
      <w:r w:rsidR="00F027A2" w:rsidRPr="00781AFB">
        <w:rPr>
          <w:szCs w:val="24"/>
        </w:rPr>
        <w:t xml:space="preserve">вод объекта в эксплуатацию - </w:t>
      </w:r>
      <w:r w:rsidR="00F027A2">
        <w:rPr>
          <w:szCs w:val="24"/>
        </w:rPr>
        <w:t>август 2015</w:t>
      </w:r>
      <w:r w:rsidR="00F027A2" w:rsidRPr="00781AFB">
        <w:rPr>
          <w:szCs w:val="24"/>
        </w:rPr>
        <w:t xml:space="preserve"> года</w:t>
      </w:r>
      <w:proofErr w:type="gramStart"/>
      <w:r w:rsidR="00F027A2" w:rsidRPr="00781AFB">
        <w:rPr>
          <w:szCs w:val="24"/>
        </w:rPr>
        <w:t>.</w:t>
      </w:r>
      <w:r w:rsidRPr="00781AFB">
        <w:rPr>
          <w:szCs w:val="24"/>
        </w:rPr>
        <w:t xml:space="preserve">. </w:t>
      </w:r>
      <w:proofErr w:type="gramEnd"/>
    </w:p>
    <w:p w:rsidR="005B10CE" w:rsidRPr="0069306F" w:rsidRDefault="005B10CE" w:rsidP="002161C5">
      <w:pPr>
        <w:pStyle w:val="a3"/>
        <w:spacing w:after="0"/>
        <w:ind w:firstLine="720"/>
        <w:jc w:val="both"/>
        <w:rPr>
          <w:szCs w:val="24"/>
        </w:rPr>
      </w:pPr>
      <w:r w:rsidRPr="0069306F">
        <w:rPr>
          <w:szCs w:val="24"/>
        </w:rPr>
        <w:t xml:space="preserve">За счет средств бюджета Белоярского района проведены изыскания для строительства нового детского сада в </w:t>
      </w:r>
      <w:proofErr w:type="spellStart"/>
      <w:r w:rsidRPr="0069306F">
        <w:rPr>
          <w:szCs w:val="24"/>
        </w:rPr>
        <w:t>мкр</w:t>
      </w:r>
      <w:proofErr w:type="spellEnd"/>
      <w:r w:rsidRPr="0069306F">
        <w:rPr>
          <w:szCs w:val="24"/>
        </w:rPr>
        <w:t xml:space="preserve">. 3а в г. Белоярский. В 2013 году за счет средств бюджета Белоярского района заключен договор на проектирование объекта, окончание работ запланировано в 2014 году. </w:t>
      </w:r>
    </w:p>
    <w:p w:rsidR="005B10CE" w:rsidRPr="0069306F" w:rsidRDefault="005B10CE" w:rsidP="002161C5">
      <w:pPr>
        <w:pStyle w:val="a3"/>
        <w:spacing w:after="0"/>
        <w:ind w:firstLine="720"/>
        <w:jc w:val="both"/>
        <w:rPr>
          <w:szCs w:val="24"/>
        </w:rPr>
      </w:pPr>
      <w:r w:rsidRPr="0069306F">
        <w:rPr>
          <w:szCs w:val="24"/>
        </w:rPr>
        <w:t xml:space="preserve">В рамках целевой программы </w:t>
      </w:r>
      <w:r w:rsidR="003F020E">
        <w:rPr>
          <w:szCs w:val="24"/>
        </w:rPr>
        <w:t>«</w:t>
      </w:r>
      <w:r w:rsidRPr="0069306F">
        <w:rPr>
          <w:szCs w:val="24"/>
        </w:rPr>
        <w:t>С</w:t>
      </w:r>
      <w:r w:rsidR="003F020E">
        <w:rPr>
          <w:szCs w:val="24"/>
        </w:rPr>
        <w:t>овременное здравоохранение Югры»</w:t>
      </w:r>
      <w:r w:rsidRPr="0069306F">
        <w:rPr>
          <w:szCs w:val="24"/>
        </w:rPr>
        <w:t xml:space="preserve"> на 2011-2013 годы и на период до 2015 года</w:t>
      </w:r>
      <w:r w:rsidR="003F020E">
        <w:rPr>
          <w:szCs w:val="24"/>
        </w:rPr>
        <w:t>»</w:t>
      </w:r>
      <w:r w:rsidRPr="0069306F">
        <w:rPr>
          <w:szCs w:val="24"/>
        </w:rPr>
        <w:t xml:space="preserve"> в 2013 году введен в эксплуатацию фельдшерско-акушерский пункт в д. Пашторы Белоярского района мощностью 9 посещений в смену, стоимость объекта составила 9 663,2 тыс. руб. </w:t>
      </w:r>
    </w:p>
    <w:p w:rsidR="005B10CE" w:rsidRPr="0069306F" w:rsidRDefault="005B10CE" w:rsidP="002161C5">
      <w:pPr>
        <w:pStyle w:val="a3"/>
        <w:spacing w:after="0"/>
        <w:ind w:firstLine="720"/>
        <w:jc w:val="both"/>
        <w:rPr>
          <w:szCs w:val="24"/>
        </w:rPr>
      </w:pPr>
      <w:r w:rsidRPr="0069306F">
        <w:rPr>
          <w:szCs w:val="24"/>
        </w:rPr>
        <w:t>По мероприятиям долгосрочной целево</w:t>
      </w:r>
      <w:r w:rsidR="003F020E">
        <w:rPr>
          <w:szCs w:val="24"/>
        </w:rPr>
        <w:t>й программы Белоярского района «</w:t>
      </w:r>
      <w:r w:rsidRPr="0069306F">
        <w:rPr>
          <w:szCs w:val="24"/>
        </w:rPr>
        <w:t>Комплексное развитие системы здравоохранения Белоярского района</w:t>
      </w:r>
      <w:r w:rsidR="003F020E">
        <w:rPr>
          <w:szCs w:val="24"/>
        </w:rPr>
        <w:t>»</w:t>
      </w:r>
      <w:r w:rsidRPr="0069306F">
        <w:rPr>
          <w:szCs w:val="24"/>
        </w:rPr>
        <w:t xml:space="preserve"> на 2011-2013 годы 2013 году проведены проектно-изыскательские работы на сумму 1 835,4 тыс. руб. для строительства участковой больницы в с. </w:t>
      </w:r>
      <w:proofErr w:type="gramStart"/>
      <w:r w:rsidRPr="0069306F">
        <w:rPr>
          <w:szCs w:val="24"/>
        </w:rPr>
        <w:t>Полноват</w:t>
      </w:r>
      <w:proofErr w:type="gramEnd"/>
      <w:r w:rsidRPr="0069306F">
        <w:rPr>
          <w:szCs w:val="24"/>
        </w:rPr>
        <w:t>. Строительство участковой больницы в 2014 году продолжа</w:t>
      </w:r>
      <w:r w:rsidR="003C05B6">
        <w:rPr>
          <w:szCs w:val="24"/>
        </w:rPr>
        <w:t>ет</w:t>
      </w:r>
      <w:r w:rsidRPr="0069306F">
        <w:rPr>
          <w:szCs w:val="24"/>
        </w:rPr>
        <w:t xml:space="preserve">ся в рамках программы «Сотрудничество». Объем средств выделенных  по программе на 2014 год составляет 119,569 млн. руб. </w:t>
      </w:r>
    </w:p>
    <w:p w:rsidR="005B10CE" w:rsidRDefault="005B10CE" w:rsidP="002161C5">
      <w:pPr>
        <w:ind w:firstLine="708"/>
        <w:jc w:val="both"/>
        <w:rPr>
          <w:szCs w:val="24"/>
        </w:rPr>
      </w:pPr>
      <w:r w:rsidRPr="0069306F">
        <w:rPr>
          <w:szCs w:val="24"/>
        </w:rPr>
        <w:t xml:space="preserve">Открыт   светомузыкальный фонтан на детской площадке в г. Белоярский. </w:t>
      </w:r>
    </w:p>
    <w:p w:rsidR="001F24B7" w:rsidRPr="00240C36" w:rsidRDefault="001F24B7" w:rsidP="001F24B7">
      <w:pPr>
        <w:ind w:firstLine="709"/>
        <w:jc w:val="both"/>
        <w:rPr>
          <w:rFonts w:eastAsia="Calibri"/>
          <w:szCs w:val="24"/>
        </w:rPr>
      </w:pPr>
      <w:r w:rsidRPr="00240C36">
        <w:rPr>
          <w:szCs w:val="24"/>
        </w:rPr>
        <w:t xml:space="preserve">В среднесрочном периоде прогнозируется увеличение инвестиций в основной капитал </w:t>
      </w:r>
      <w:r w:rsidR="0011587C">
        <w:rPr>
          <w:szCs w:val="24"/>
        </w:rPr>
        <w:t xml:space="preserve">в сферах </w:t>
      </w:r>
      <w:r w:rsidRPr="00240C36">
        <w:rPr>
          <w:szCs w:val="24"/>
        </w:rPr>
        <w:t>образования</w:t>
      </w:r>
      <w:r w:rsidR="000E23A0">
        <w:rPr>
          <w:szCs w:val="24"/>
        </w:rPr>
        <w:t xml:space="preserve"> и физкультуры и спорта</w:t>
      </w:r>
      <w:r w:rsidRPr="00240C36">
        <w:rPr>
          <w:szCs w:val="24"/>
        </w:rPr>
        <w:t xml:space="preserve">. В результате доля этих секторов в общем объеме инвестиций </w:t>
      </w:r>
      <w:r w:rsidR="00240C36" w:rsidRPr="00240C36">
        <w:rPr>
          <w:szCs w:val="24"/>
        </w:rPr>
        <w:t>в 2014</w:t>
      </w:r>
      <w:r w:rsidRPr="00240C36">
        <w:rPr>
          <w:szCs w:val="24"/>
        </w:rPr>
        <w:t xml:space="preserve"> году </w:t>
      </w:r>
      <w:r w:rsidR="00240C36" w:rsidRPr="00240C36">
        <w:rPr>
          <w:szCs w:val="24"/>
        </w:rPr>
        <w:t>составит</w:t>
      </w:r>
      <w:r w:rsidRPr="00240C36">
        <w:rPr>
          <w:szCs w:val="24"/>
        </w:rPr>
        <w:t xml:space="preserve"> </w:t>
      </w:r>
      <w:r w:rsidR="00240C36" w:rsidRPr="00240C36">
        <w:rPr>
          <w:szCs w:val="24"/>
        </w:rPr>
        <w:t>2,7</w:t>
      </w:r>
      <w:r w:rsidRPr="00240C36">
        <w:rPr>
          <w:szCs w:val="24"/>
        </w:rPr>
        <w:t>%</w:t>
      </w:r>
      <w:r w:rsidR="00240C36" w:rsidRPr="00240C36">
        <w:rPr>
          <w:szCs w:val="24"/>
        </w:rPr>
        <w:t>.</w:t>
      </w:r>
      <w:r w:rsidRPr="00240C36">
        <w:rPr>
          <w:szCs w:val="24"/>
        </w:rPr>
        <w:t xml:space="preserve">  </w:t>
      </w:r>
    </w:p>
    <w:p w:rsidR="001F24B7" w:rsidRDefault="001F24B7" w:rsidP="002161C5">
      <w:pPr>
        <w:ind w:firstLine="708"/>
        <w:jc w:val="both"/>
        <w:rPr>
          <w:szCs w:val="24"/>
        </w:rPr>
      </w:pPr>
    </w:p>
    <w:p w:rsidR="00003EDF" w:rsidRPr="0069306F" w:rsidRDefault="00003EDF" w:rsidP="002161C5">
      <w:pPr>
        <w:ind w:firstLine="708"/>
        <w:jc w:val="both"/>
        <w:rPr>
          <w:szCs w:val="24"/>
        </w:rPr>
      </w:pPr>
    </w:p>
    <w:p w:rsidR="00137205" w:rsidRPr="00661C3C" w:rsidRDefault="00137205" w:rsidP="002161C5">
      <w:pPr>
        <w:ind w:firstLine="540"/>
        <w:jc w:val="center"/>
        <w:rPr>
          <w:b/>
          <w:szCs w:val="24"/>
        </w:rPr>
      </w:pPr>
      <w:r w:rsidRPr="00661C3C">
        <w:rPr>
          <w:b/>
          <w:szCs w:val="24"/>
        </w:rPr>
        <w:t>Строительство</w:t>
      </w:r>
    </w:p>
    <w:p w:rsidR="00137205" w:rsidRPr="00F1088B" w:rsidRDefault="00137205" w:rsidP="002161C5">
      <w:pPr>
        <w:ind w:firstLine="540"/>
        <w:jc w:val="center"/>
        <w:rPr>
          <w:i/>
          <w:color w:val="FF0000"/>
          <w:szCs w:val="24"/>
        </w:rPr>
      </w:pPr>
    </w:p>
    <w:p w:rsidR="00137205" w:rsidRPr="00661C3C" w:rsidRDefault="00137205" w:rsidP="002161C5">
      <w:pPr>
        <w:pStyle w:val="a3"/>
        <w:spacing w:after="0"/>
        <w:ind w:firstLine="720"/>
        <w:jc w:val="both"/>
        <w:rPr>
          <w:szCs w:val="24"/>
        </w:rPr>
      </w:pPr>
      <w:r w:rsidRPr="00661C3C">
        <w:rPr>
          <w:szCs w:val="24"/>
        </w:rPr>
        <w:t>Одним из значимых показателей развития территории является развитие строительной индустрии. Объем работ, выполненный собственными силами крупных и средних организаций (без субъектов малого предпринимательства) по виду экономической деятельности  «строительство»  за 2013 год составил 4 318,3  млн. рублей, в расчете на душу населения – 143,9 тыс. рублей. По оценке 2014 год</w:t>
      </w:r>
      <w:r w:rsidR="00B960C1">
        <w:rPr>
          <w:szCs w:val="24"/>
        </w:rPr>
        <w:t>а</w:t>
      </w:r>
      <w:r w:rsidRPr="00661C3C">
        <w:rPr>
          <w:szCs w:val="24"/>
        </w:rPr>
        <w:t xml:space="preserve"> объем выполненных работ по строительству на территории района составит 4 568,5 млн. руб. В прогнозном периоде 2015-2017 годов увеличение объемов строительства ожидается: в 2015 году – 4 899,0 млн. руб., а к 2017 году достигнет 5 590,0 млн. руб.</w:t>
      </w:r>
    </w:p>
    <w:p w:rsidR="00137205" w:rsidRPr="00661C3C" w:rsidRDefault="00137205" w:rsidP="00A836D9">
      <w:pPr>
        <w:autoSpaceDE w:val="0"/>
        <w:autoSpaceDN w:val="0"/>
        <w:adjustRightInd w:val="0"/>
        <w:ind w:firstLine="709"/>
        <w:jc w:val="both"/>
        <w:rPr>
          <w:szCs w:val="24"/>
        </w:rPr>
      </w:pPr>
      <w:r w:rsidRPr="00661C3C">
        <w:rPr>
          <w:szCs w:val="24"/>
        </w:rPr>
        <w:t xml:space="preserve">В 2013 году на территории Белоярского района введено в эксплуатацию зданий жилого и нежилого назначения общей площадью 21,162 тыс. кв.м. </w:t>
      </w:r>
    </w:p>
    <w:p w:rsidR="00137205" w:rsidRPr="00661C3C" w:rsidRDefault="00137205" w:rsidP="002161C5">
      <w:pPr>
        <w:pStyle w:val="a3"/>
        <w:spacing w:after="0"/>
        <w:ind w:firstLine="720"/>
        <w:jc w:val="both"/>
        <w:rPr>
          <w:szCs w:val="24"/>
        </w:rPr>
      </w:pPr>
      <w:proofErr w:type="gramStart"/>
      <w:r w:rsidRPr="00661C3C">
        <w:rPr>
          <w:szCs w:val="24"/>
        </w:rPr>
        <w:lastRenderedPageBreak/>
        <w:t xml:space="preserve">За счет средств  программы «Укрепление пожарной безопасности в Ханты-Мансийском округе - Югре в 2011 - 2013 годах и на период до 2015 года» введены в эксплуатацию два пожарных резервуара в с. Полноват и в с. Казым объемом  250 м3 каждый. </w:t>
      </w:r>
      <w:proofErr w:type="gramEnd"/>
    </w:p>
    <w:p w:rsidR="00A836D9" w:rsidRDefault="00137205" w:rsidP="002161C5">
      <w:pPr>
        <w:pStyle w:val="a3"/>
        <w:spacing w:after="0"/>
        <w:ind w:firstLine="720"/>
        <w:jc w:val="both"/>
        <w:rPr>
          <w:szCs w:val="24"/>
        </w:rPr>
      </w:pPr>
      <w:r w:rsidRPr="00661C3C">
        <w:rPr>
          <w:szCs w:val="24"/>
        </w:rPr>
        <w:t xml:space="preserve">За счет средств бюджета Белоярского района в 2013 году построены 3 пожарных резервуара в </w:t>
      </w:r>
      <w:proofErr w:type="spellStart"/>
      <w:r w:rsidRPr="00661C3C">
        <w:rPr>
          <w:szCs w:val="24"/>
        </w:rPr>
        <w:t>д</w:t>
      </w:r>
      <w:proofErr w:type="gramStart"/>
      <w:r w:rsidRPr="00661C3C">
        <w:rPr>
          <w:szCs w:val="24"/>
        </w:rPr>
        <w:t>.П</w:t>
      </w:r>
      <w:proofErr w:type="gramEnd"/>
      <w:r w:rsidRPr="00661C3C">
        <w:rPr>
          <w:szCs w:val="24"/>
        </w:rPr>
        <w:t>ашторы</w:t>
      </w:r>
      <w:proofErr w:type="spellEnd"/>
      <w:r w:rsidRPr="00661C3C">
        <w:rPr>
          <w:szCs w:val="24"/>
        </w:rPr>
        <w:t xml:space="preserve">, </w:t>
      </w:r>
      <w:proofErr w:type="spellStart"/>
      <w:r w:rsidRPr="00661C3C">
        <w:rPr>
          <w:szCs w:val="24"/>
        </w:rPr>
        <w:t>с.Ванзеват</w:t>
      </w:r>
      <w:proofErr w:type="spellEnd"/>
      <w:r w:rsidRPr="00661C3C">
        <w:rPr>
          <w:szCs w:val="24"/>
        </w:rPr>
        <w:t xml:space="preserve">, </w:t>
      </w:r>
      <w:proofErr w:type="spellStart"/>
      <w:r w:rsidRPr="00661C3C">
        <w:rPr>
          <w:szCs w:val="24"/>
        </w:rPr>
        <w:t>с.Тугияны</w:t>
      </w:r>
      <w:proofErr w:type="spellEnd"/>
      <w:r w:rsidRPr="00661C3C">
        <w:rPr>
          <w:szCs w:val="24"/>
        </w:rPr>
        <w:t xml:space="preserve">. </w:t>
      </w:r>
    </w:p>
    <w:p w:rsidR="00137205" w:rsidRPr="00661C3C" w:rsidRDefault="00137205" w:rsidP="002161C5">
      <w:pPr>
        <w:pStyle w:val="a3"/>
        <w:spacing w:after="0"/>
        <w:ind w:firstLine="720"/>
        <w:jc w:val="both"/>
        <w:rPr>
          <w:szCs w:val="24"/>
        </w:rPr>
      </w:pPr>
      <w:r w:rsidRPr="00661C3C">
        <w:rPr>
          <w:szCs w:val="24"/>
        </w:rPr>
        <w:t>Завершены работы по строительству участкового пункта милиции в п. Сосновка в рамках целевой программы «Профилактика правонарушений вХанты-Мансийском автономном округе - Югре на 2011-2015 годы». Стоимость строительства объекта составила 9,9 млн. рублей.</w:t>
      </w:r>
    </w:p>
    <w:p w:rsidR="00137205" w:rsidRPr="00661C3C" w:rsidRDefault="00137205" w:rsidP="002161C5">
      <w:pPr>
        <w:ind w:firstLine="708"/>
        <w:jc w:val="both"/>
        <w:rPr>
          <w:szCs w:val="24"/>
        </w:rPr>
      </w:pPr>
      <w:r w:rsidRPr="00661C3C">
        <w:rPr>
          <w:szCs w:val="24"/>
        </w:rPr>
        <w:t xml:space="preserve">В 2014 </w:t>
      </w:r>
      <w:r w:rsidR="00A836D9">
        <w:rPr>
          <w:szCs w:val="24"/>
        </w:rPr>
        <w:t xml:space="preserve">году начата реализация проекта </w:t>
      </w:r>
      <w:r w:rsidRPr="00661C3C">
        <w:rPr>
          <w:szCs w:val="24"/>
        </w:rPr>
        <w:t xml:space="preserve">  «Строительств</w:t>
      </w:r>
      <w:r w:rsidR="00A836D9">
        <w:rPr>
          <w:szCs w:val="24"/>
        </w:rPr>
        <w:t>о</w:t>
      </w:r>
      <w:r w:rsidRPr="00661C3C">
        <w:rPr>
          <w:szCs w:val="24"/>
        </w:rPr>
        <w:t xml:space="preserve"> торгово-развлекательного комплекса в г. </w:t>
      </w:r>
      <w:proofErr w:type="gramStart"/>
      <w:r w:rsidRPr="00661C3C">
        <w:rPr>
          <w:szCs w:val="24"/>
        </w:rPr>
        <w:t>Белоярский</w:t>
      </w:r>
      <w:proofErr w:type="gramEnd"/>
      <w:r w:rsidRPr="00661C3C">
        <w:rPr>
          <w:szCs w:val="24"/>
        </w:rPr>
        <w:t>». В апреле 2014 года начаты работы по забивке свай, ввод 1 очереди гипермаркета площадью 3,5 тыс</w:t>
      </w:r>
      <w:proofErr w:type="gramStart"/>
      <w:r w:rsidRPr="00661C3C">
        <w:rPr>
          <w:szCs w:val="24"/>
        </w:rPr>
        <w:t>.м</w:t>
      </w:r>
      <w:proofErr w:type="gramEnd"/>
      <w:r w:rsidRPr="00661C3C">
        <w:rPr>
          <w:szCs w:val="24"/>
        </w:rPr>
        <w:t>2 запланирован к сентябрю 2015 года. Ввод торгово-развлекательного комплекса общей  площадью 16 - 17 тыс</w:t>
      </w:r>
      <w:proofErr w:type="gramStart"/>
      <w:r w:rsidRPr="00661C3C">
        <w:rPr>
          <w:szCs w:val="24"/>
        </w:rPr>
        <w:t>.м</w:t>
      </w:r>
      <w:proofErr w:type="gramEnd"/>
      <w:r w:rsidRPr="00661C3C">
        <w:rPr>
          <w:szCs w:val="24"/>
        </w:rPr>
        <w:t>2 планируется в 2016 году. Стоимость проекта</w:t>
      </w:r>
      <w:r w:rsidR="00A836D9">
        <w:rPr>
          <w:szCs w:val="24"/>
        </w:rPr>
        <w:t xml:space="preserve"> оценивается в</w:t>
      </w:r>
      <w:r w:rsidRPr="00661C3C">
        <w:rPr>
          <w:szCs w:val="24"/>
        </w:rPr>
        <w:t xml:space="preserve"> 600 млн. руб.</w:t>
      </w:r>
    </w:p>
    <w:p w:rsidR="00137205" w:rsidRPr="00F1088B" w:rsidRDefault="00137205" w:rsidP="002161C5">
      <w:pPr>
        <w:autoSpaceDE w:val="0"/>
        <w:autoSpaceDN w:val="0"/>
        <w:adjustRightInd w:val="0"/>
        <w:ind w:firstLine="540"/>
        <w:jc w:val="both"/>
        <w:rPr>
          <w:i/>
          <w:color w:val="FF0000"/>
          <w:szCs w:val="24"/>
        </w:rPr>
      </w:pPr>
    </w:p>
    <w:p w:rsidR="00003EDF" w:rsidRPr="00003EDF" w:rsidRDefault="00137205" w:rsidP="00003EDF">
      <w:pPr>
        <w:autoSpaceDE w:val="0"/>
        <w:autoSpaceDN w:val="0"/>
        <w:adjustRightInd w:val="0"/>
        <w:ind w:firstLine="709"/>
        <w:jc w:val="both"/>
        <w:rPr>
          <w:b/>
          <w:i/>
          <w:szCs w:val="24"/>
        </w:rPr>
      </w:pPr>
      <w:r w:rsidRPr="00003EDF">
        <w:rPr>
          <w:b/>
          <w:i/>
          <w:szCs w:val="24"/>
        </w:rPr>
        <w:t>Жилищное строительство</w:t>
      </w:r>
    </w:p>
    <w:p w:rsidR="00137205" w:rsidRPr="00C77DFB" w:rsidRDefault="00137205" w:rsidP="00003EDF">
      <w:pPr>
        <w:pStyle w:val="5"/>
        <w:numPr>
          <w:ilvl w:val="0"/>
          <w:numId w:val="0"/>
        </w:numPr>
        <w:tabs>
          <w:tab w:val="center" w:pos="4879"/>
        </w:tabs>
        <w:spacing w:before="0" w:after="0"/>
        <w:ind w:firstLine="709"/>
        <w:jc w:val="both"/>
        <w:rPr>
          <w:b w:val="0"/>
          <w:i w:val="0"/>
          <w:sz w:val="24"/>
          <w:szCs w:val="24"/>
        </w:rPr>
      </w:pPr>
      <w:r w:rsidRPr="00C77DFB">
        <w:rPr>
          <w:b w:val="0"/>
          <w:i w:val="0"/>
          <w:sz w:val="24"/>
          <w:szCs w:val="24"/>
        </w:rPr>
        <w:t xml:space="preserve">На строительство нового жилья в рамках целевой программы автономного округа и долгосрочной целевой программы Белоярского района «Содействие развитию жилищного строительства» в 2013 году было направлено  337,2 млн. рублей, в том числе: </w:t>
      </w:r>
    </w:p>
    <w:p w:rsidR="00137205" w:rsidRPr="00C77DFB" w:rsidRDefault="00137205" w:rsidP="002161C5">
      <w:pPr>
        <w:pStyle w:val="5"/>
        <w:numPr>
          <w:ilvl w:val="0"/>
          <w:numId w:val="0"/>
        </w:numPr>
        <w:tabs>
          <w:tab w:val="center" w:pos="4879"/>
        </w:tabs>
        <w:spacing w:before="0" w:after="0"/>
        <w:ind w:left="993"/>
        <w:jc w:val="both"/>
        <w:rPr>
          <w:b w:val="0"/>
          <w:i w:val="0"/>
          <w:sz w:val="24"/>
          <w:szCs w:val="24"/>
        </w:rPr>
      </w:pPr>
      <w:r w:rsidRPr="00C77DFB">
        <w:rPr>
          <w:b w:val="0"/>
          <w:i w:val="0"/>
          <w:sz w:val="24"/>
          <w:szCs w:val="24"/>
        </w:rPr>
        <w:t>- средства бюджета Белоярского района – 88,6 млн. рублей;</w:t>
      </w:r>
    </w:p>
    <w:p w:rsidR="00137205" w:rsidRPr="00C77DFB" w:rsidRDefault="00137205" w:rsidP="002161C5">
      <w:pPr>
        <w:pStyle w:val="5"/>
        <w:numPr>
          <w:ilvl w:val="0"/>
          <w:numId w:val="0"/>
        </w:numPr>
        <w:tabs>
          <w:tab w:val="center" w:pos="4879"/>
        </w:tabs>
        <w:spacing w:before="0" w:after="0"/>
        <w:ind w:left="993"/>
        <w:jc w:val="both"/>
        <w:rPr>
          <w:b w:val="0"/>
          <w:i w:val="0"/>
          <w:sz w:val="24"/>
          <w:szCs w:val="24"/>
        </w:rPr>
      </w:pPr>
      <w:r w:rsidRPr="00C77DFB">
        <w:rPr>
          <w:b w:val="0"/>
          <w:i w:val="0"/>
          <w:sz w:val="24"/>
          <w:szCs w:val="24"/>
        </w:rPr>
        <w:t xml:space="preserve">- средства бюджета автономного округа – 248,6 млн. рублей. </w:t>
      </w:r>
    </w:p>
    <w:p w:rsidR="00137205" w:rsidRPr="00C77DFB" w:rsidRDefault="00137205" w:rsidP="00A836D9">
      <w:pPr>
        <w:pStyle w:val="5"/>
        <w:numPr>
          <w:ilvl w:val="0"/>
          <w:numId w:val="0"/>
        </w:numPr>
        <w:tabs>
          <w:tab w:val="center" w:pos="567"/>
        </w:tabs>
        <w:spacing w:before="0" w:after="0"/>
        <w:ind w:firstLine="709"/>
        <w:jc w:val="both"/>
        <w:rPr>
          <w:b w:val="0"/>
          <w:i w:val="0"/>
          <w:sz w:val="24"/>
          <w:szCs w:val="24"/>
        </w:rPr>
      </w:pPr>
      <w:r w:rsidRPr="00C77DFB">
        <w:rPr>
          <w:b w:val="0"/>
          <w:i w:val="0"/>
          <w:sz w:val="24"/>
          <w:szCs w:val="24"/>
        </w:rPr>
        <w:t>За  прошедший год на территории района было введено 15 826 кв. метров жилья.</w:t>
      </w:r>
    </w:p>
    <w:p w:rsidR="00137205" w:rsidRPr="00C77DFB" w:rsidRDefault="00137205" w:rsidP="00A836D9">
      <w:pPr>
        <w:jc w:val="both"/>
        <w:rPr>
          <w:szCs w:val="24"/>
        </w:rPr>
      </w:pPr>
      <w:r w:rsidRPr="00C77DFB">
        <w:rPr>
          <w:szCs w:val="24"/>
        </w:rPr>
        <w:t>Обеспеченность жильем по району в 2013 году  составила 20,8 кв</w:t>
      </w:r>
      <w:proofErr w:type="gramStart"/>
      <w:r w:rsidRPr="00C77DFB">
        <w:rPr>
          <w:szCs w:val="24"/>
        </w:rPr>
        <w:t>.м</w:t>
      </w:r>
      <w:proofErr w:type="gramEnd"/>
      <w:r w:rsidRPr="00C77DFB">
        <w:rPr>
          <w:szCs w:val="24"/>
        </w:rPr>
        <w:t xml:space="preserve"> на человека (в среднем по Югре – 19,6 м2).</w:t>
      </w:r>
    </w:p>
    <w:p w:rsidR="00137205" w:rsidRPr="00C77DFB" w:rsidRDefault="00A836D9" w:rsidP="00003EDF">
      <w:pPr>
        <w:pStyle w:val="5"/>
        <w:numPr>
          <w:ilvl w:val="0"/>
          <w:numId w:val="0"/>
        </w:numPr>
        <w:tabs>
          <w:tab w:val="center" w:pos="4879"/>
        </w:tabs>
        <w:spacing w:before="0" w:after="0"/>
        <w:ind w:firstLine="709"/>
        <w:jc w:val="both"/>
        <w:rPr>
          <w:b w:val="0"/>
          <w:i w:val="0"/>
          <w:sz w:val="24"/>
          <w:szCs w:val="24"/>
        </w:rPr>
      </w:pPr>
      <w:r>
        <w:rPr>
          <w:b w:val="0"/>
          <w:i w:val="0"/>
          <w:sz w:val="24"/>
          <w:szCs w:val="24"/>
        </w:rPr>
        <w:tab/>
      </w:r>
      <w:r w:rsidR="00137205" w:rsidRPr="00C77DFB">
        <w:rPr>
          <w:b w:val="0"/>
          <w:i w:val="0"/>
          <w:sz w:val="24"/>
          <w:szCs w:val="24"/>
        </w:rPr>
        <w:t xml:space="preserve">В 2013 году  ввод ИЖС составил 5 251 кв.м., что в 3,2 раза  больше чем за  2012 год. </w:t>
      </w:r>
    </w:p>
    <w:p w:rsidR="00137205" w:rsidRPr="00C77DFB" w:rsidRDefault="00137205" w:rsidP="00A836D9">
      <w:pPr>
        <w:ind w:firstLine="708"/>
        <w:jc w:val="both"/>
        <w:rPr>
          <w:szCs w:val="24"/>
        </w:rPr>
      </w:pPr>
      <w:r w:rsidRPr="00C77DFB">
        <w:rPr>
          <w:szCs w:val="24"/>
        </w:rPr>
        <w:t xml:space="preserve">За отчетный год на территории Белоярского района снесено 10 многоквартирных домов, общей площадью 9 498 кв.м. </w:t>
      </w:r>
    </w:p>
    <w:p w:rsidR="00137205" w:rsidRPr="00C77DFB" w:rsidRDefault="00137205" w:rsidP="00A836D9">
      <w:pPr>
        <w:ind w:firstLine="709"/>
        <w:jc w:val="both"/>
        <w:rPr>
          <w:szCs w:val="24"/>
        </w:rPr>
      </w:pPr>
      <w:r w:rsidRPr="00C77DFB">
        <w:rPr>
          <w:szCs w:val="24"/>
        </w:rPr>
        <w:t>Доля ветхого и аварийного жилого фонда составила 4,3% (в 2012 году – 6,4 %).  Доля населения, проживающего в многоквартирных жилых домах, признанных аварийными - 2,2 %.</w:t>
      </w:r>
    </w:p>
    <w:p w:rsidR="00137205" w:rsidRPr="00C77DFB" w:rsidRDefault="00137205" w:rsidP="00A836D9">
      <w:pPr>
        <w:pStyle w:val="5"/>
        <w:numPr>
          <w:ilvl w:val="0"/>
          <w:numId w:val="0"/>
        </w:numPr>
        <w:tabs>
          <w:tab w:val="center" w:pos="4879"/>
        </w:tabs>
        <w:spacing w:before="0" w:after="0"/>
        <w:ind w:firstLine="709"/>
        <w:jc w:val="both"/>
        <w:rPr>
          <w:b w:val="0"/>
          <w:i w:val="0"/>
          <w:sz w:val="24"/>
          <w:szCs w:val="24"/>
        </w:rPr>
      </w:pPr>
      <w:r w:rsidRPr="00C77DFB">
        <w:rPr>
          <w:b w:val="0"/>
          <w:i w:val="0"/>
          <w:sz w:val="24"/>
          <w:szCs w:val="24"/>
        </w:rPr>
        <w:t>По предварительной оценке в 2014 году будет введено 1</w:t>
      </w:r>
      <w:r>
        <w:rPr>
          <w:b w:val="0"/>
          <w:i w:val="0"/>
          <w:sz w:val="24"/>
          <w:szCs w:val="24"/>
        </w:rPr>
        <w:t>6</w:t>
      </w:r>
      <w:r w:rsidRPr="00C77DFB">
        <w:rPr>
          <w:b w:val="0"/>
          <w:i w:val="0"/>
          <w:sz w:val="24"/>
          <w:szCs w:val="24"/>
        </w:rPr>
        <w:t>,22 тыс. кв.м. жилья. В целом динамика ввода жилья в прогнозном периоде положительная, планируется вводить до 20,0 тыс. кв</w:t>
      </w:r>
      <w:proofErr w:type="gramStart"/>
      <w:r w:rsidRPr="00C77DFB">
        <w:rPr>
          <w:b w:val="0"/>
          <w:i w:val="0"/>
          <w:sz w:val="24"/>
          <w:szCs w:val="24"/>
        </w:rPr>
        <w:t>.м</w:t>
      </w:r>
      <w:proofErr w:type="gramEnd"/>
      <w:r w:rsidRPr="00C77DFB">
        <w:rPr>
          <w:b w:val="0"/>
          <w:i w:val="0"/>
          <w:sz w:val="24"/>
          <w:szCs w:val="24"/>
        </w:rPr>
        <w:t xml:space="preserve"> жилья ежегодно.</w:t>
      </w:r>
    </w:p>
    <w:p w:rsidR="008B725F" w:rsidRDefault="008B725F" w:rsidP="002161C5">
      <w:pPr>
        <w:jc w:val="right"/>
        <w:rPr>
          <w:szCs w:val="24"/>
        </w:rPr>
      </w:pPr>
    </w:p>
    <w:p w:rsidR="00137205" w:rsidRPr="00C77DFB" w:rsidRDefault="00137205" w:rsidP="002161C5">
      <w:pPr>
        <w:jc w:val="right"/>
        <w:rPr>
          <w:szCs w:val="24"/>
        </w:rPr>
      </w:pPr>
      <w:r w:rsidRPr="00C77DFB">
        <w:rPr>
          <w:szCs w:val="24"/>
        </w:rPr>
        <w:t>Диаграмма 10</w:t>
      </w:r>
    </w:p>
    <w:p w:rsidR="00137205" w:rsidRDefault="00137205" w:rsidP="002161C5">
      <w:pPr>
        <w:jc w:val="center"/>
        <w:rPr>
          <w:color w:val="FF0000"/>
          <w:szCs w:val="24"/>
        </w:rPr>
      </w:pPr>
      <w:r>
        <w:rPr>
          <w:noProof/>
        </w:rPr>
        <w:drawing>
          <wp:inline distT="0" distB="0" distL="0" distR="0">
            <wp:extent cx="5295900" cy="2752725"/>
            <wp:effectExtent l="1905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37205" w:rsidRPr="004C2D91" w:rsidRDefault="00137205" w:rsidP="002161C5">
      <w:pPr>
        <w:pStyle w:val="a3"/>
        <w:spacing w:after="0"/>
        <w:ind w:firstLine="720"/>
        <w:jc w:val="both"/>
        <w:rPr>
          <w:szCs w:val="24"/>
        </w:rPr>
      </w:pPr>
      <w:r w:rsidRPr="004C2D91">
        <w:rPr>
          <w:szCs w:val="24"/>
        </w:rPr>
        <w:lastRenderedPageBreak/>
        <w:t xml:space="preserve">Введено в эксплуатацию общежитие в городе </w:t>
      </w:r>
      <w:proofErr w:type="gramStart"/>
      <w:r w:rsidRPr="004C2D91">
        <w:rPr>
          <w:szCs w:val="24"/>
        </w:rPr>
        <w:t>Белоярский</w:t>
      </w:r>
      <w:proofErr w:type="gramEnd"/>
      <w:r w:rsidRPr="004C2D91">
        <w:rPr>
          <w:szCs w:val="24"/>
        </w:rPr>
        <w:t xml:space="preserve"> в </w:t>
      </w:r>
      <w:proofErr w:type="spellStart"/>
      <w:r w:rsidRPr="004C2D91">
        <w:rPr>
          <w:szCs w:val="24"/>
        </w:rPr>
        <w:t>мкр</w:t>
      </w:r>
      <w:proofErr w:type="spellEnd"/>
      <w:r w:rsidRPr="004C2D91">
        <w:rPr>
          <w:szCs w:val="24"/>
        </w:rPr>
        <w:t xml:space="preserve">. № 7, общей площадью жилых помещений 933 кв.м. Строительство осуществлялось по программе «Сотрудничество». </w:t>
      </w:r>
    </w:p>
    <w:p w:rsidR="00137205" w:rsidRPr="00F1088B" w:rsidRDefault="00137205" w:rsidP="002161C5">
      <w:pPr>
        <w:tabs>
          <w:tab w:val="left" w:pos="993"/>
        </w:tabs>
        <w:rPr>
          <w:color w:val="FF0000"/>
          <w:szCs w:val="24"/>
        </w:rPr>
      </w:pPr>
      <w:r w:rsidRPr="00F1088B">
        <w:rPr>
          <w:color w:val="FF0000"/>
          <w:szCs w:val="24"/>
        </w:rPr>
        <w:tab/>
      </w:r>
    </w:p>
    <w:p w:rsidR="00137205" w:rsidRPr="004C2D91" w:rsidRDefault="00137205" w:rsidP="002161C5">
      <w:pPr>
        <w:ind w:firstLine="720"/>
        <w:jc w:val="both"/>
        <w:rPr>
          <w:b/>
          <w:i/>
          <w:szCs w:val="24"/>
        </w:rPr>
      </w:pPr>
      <w:r w:rsidRPr="004C2D91">
        <w:rPr>
          <w:b/>
          <w:i/>
          <w:szCs w:val="24"/>
        </w:rPr>
        <w:t>Ввод в действие объектов социальной сферы</w:t>
      </w:r>
    </w:p>
    <w:p w:rsidR="00137205" w:rsidRPr="000D0169" w:rsidRDefault="00137205" w:rsidP="002161C5">
      <w:pPr>
        <w:tabs>
          <w:tab w:val="num" w:pos="993"/>
        </w:tabs>
        <w:ind w:firstLine="709"/>
        <w:rPr>
          <w:szCs w:val="24"/>
        </w:rPr>
      </w:pPr>
      <w:r w:rsidRPr="000D0169">
        <w:rPr>
          <w:szCs w:val="24"/>
        </w:rPr>
        <w:t xml:space="preserve">В </w:t>
      </w:r>
      <w:r w:rsidRPr="000D0169">
        <w:rPr>
          <w:b/>
          <w:szCs w:val="24"/>
        </w:rPr>
        <w:t xml:space="preserve">2013 </w:t>
      </w:r>
      <w:r w:rsidRPr="000D0169">
        <w:rPr>
          <w:szCs w:val="24"/>
        </w:rPr>
        <w:t xml:space="preserve">году </w:t>
      </w:r>
      <w:proofErr w:type="gramStart"/>
      <w:r w:rsidRPr="000D0169">
        <w:rPr>
          <w:szCs w:val="24"/>
        </w:rPr>
        <w:t>введены</w:t>
      </w:r>
      <w:proofErr w:type="gramEnd"/>
      <w:r w:rsidRPr="000D0169">
        <w:rPr>
          <w:szCs w:val="24"/>
        </w:rPr>
        <w:t xml:space="preserve"> в эксплуатацию:</w:t>
      </w:r>
    </w:p>
    <w:p w:rsidR="00137205" w:rsidRPr="000D0169" w:rsidRDefault="00137205" w:rsidP="002161C5">
      <w:pPr>
        <w:pStyle w:val="a3"/>
        <w:tabs>
          <w:tab w:val="left" w:pos="709"/>
        </w:tabs>
        <w:spacing w:after="0"/>
        <w:jc w:val="both"/>
        <w:rPr>
          <w:szCs w:val="24"/>
        </w:rPr>
      </w:pPr>
      <w:r w:rsidRPr="000D0169">
        <w:rPr>
          <w:szCs w:val="24"/>
        </w:rPr>
        <w:t xml:space="preserve">               - спортивный центр с универсальным игровым   залом  </w:t>
      </w:r>
      <w:proofErr w:type="gramStart"/>
      <w:r w:rsidRPr="000D0169">
        <w:rPr>
          <w:szCs w:val="24"/>
        </w:rPr>
        <w:t>в</w:t>
      </w:r>
      <w:proofErr w:type="gramEnd"/>
      <w:r w:rsidRPr="000D0169">
        <w:rPr>
          <w:szCs w:val="24"/>
        </w:rPr>
        <w:t xml:space="preserve"> с. Полноват;</w:t>
      </w:r>
    </w:p>
    <w:p w:rsidR="00137205" w:rsidRPr="000D0169" w:rsidRDefault="00137205" w:rsidP="002161C5">
      <w:pPr>
        <w:pStyle w:val="a3"/>
        <w:spacing w:after="0"/>
        <w:jc w:val="both"/>
        <w:rPr>
          <w:szCs w:val="24"/>
        </w:rPr>
      </w:pPr>
      <w:r w:rsidRPr="000D0169">
        <w:rPr>
          <w:szCs w:val="24"/>
        </w:rPr>
        <w:t xml:space="preserve">               - «Этнографический  выставочный  зал в </w:t>
      </w:r>
      <w:proofErr w:type="spellStart"/>
      <w:r w:rsidRPr="000D0169">
        <w:rPr>
          <w:szCs w:val="24"/>
        </w:rPr>
        <w:t>с</w:t>
      </w:r>
      <w:proofErr w:type="gramStart"/>
      <w:r w:rsidRPr="000D0169">
        <w:rPr>
          <w:szCs w:val="24"/>
        </w:rPr>
        <w:t>.К</w:t>
      </w:r>
      <w:proofErr w:type="gramEnd"/>
      <w:r w:rsidRPr="000D0169">
        <w:rPr>
          <w:szCs w:val="24"/>
        </w:rPr>
        <w:t>азым</w:t>
      </w:r>
      <w:proofErr w:type="spellEnd"/>
      <w:r w:rsidRPr="000D0169">
        <w:rPr>
          <w:szCs w:val="24"/>
        </w:rPr>
        <w:t>»;</w:t>
      </w:r>
    </w:p>
    <w:p w:rsidR="00137205" w:rsidRPr="000D0169" w:rsidRDefault="00137205" w:rsidP="002161C5">
      <w:pPr>
        <w:pStyle w:val="a3"/>
        <w:spacing w:after="0"/>
        <w:jc w:val="both"/>
        <w:rPr>
          <w:szCs w:val="24"/>
        </w:rPr>
      </w:pPr>
      <w:r w:rsidRPr="000D0169">
        <w:rPr>
          <w:szCs w:val="24"/>
        </w:rPr>
        <w:t xml:space="preserve">               - фельдшерско-акушерский пункт в д. Пашторы;</w:t>
      </w:r>
    </w:p>
    <w:p w:rsidR="00137205" w:rsidRPr="000D0169" w:rsidRDefault="00137205" w:rsidP="002161C5">
      <w:pPr>
        <w:pStyle w:val="a3"/>
        <w:spacing w:after="0"/>
        <w:jc w:val="both"/>
        <w:rPr>
          <w:szCs w:val="24"/>
        </w:rPr>
      </w:pPr>
      <w:r w:rsidRPr="000D0169">
        <w:rPr>
          <w:szCs w:val="24"/>
        </w:rPr>
        <w:t xml:space="preserve">               - общежитие в городе </w:t>
      </w:r>
      <w:proofErr w:type="gramStart"/>
      <w:r w:rsidRPr="000D0169">
        <w:rPr>
          <w:szCs w:val="24"/>
        </w:rPr>
        <w:t>Белоярский</w:t>
      </w:r>
      <w:proofErr w:type="gramEnd"/>
      <w:r w:rsidRPr="000D0169">
        <w:rPr>
          <w:szCs w:val="24"/>
        </w:rPr>
        <w:t xml:space="preserve"> в </w:t>
      </w:r>
      <w:proofErr w:type="spellStart"/>
      <w:r w:rsidRPr="000D0169">
        <w:rPr>
          <w:szCs w:val="24"/>
        </w:rPr>
        <w:t>мкр</w:t>
      </w:r>
      <w:proofErr w:type="spellEnd"/>
      <w:r w:rsidRPr="000D0169">
        <w:rPr>
          <w:szCs w:val="24"/>
        </w:rPr>
        <w:t>. № 7;</w:t>
      </w:r>
    </w:p>
    <w:p w:rsidR="00137205" w:rsidRPr="000D0169" w:rsidRDefault="00137205" w:rsidP="002161C5">
      <w:pPr>
        <w:pStyle w:val="a3"/>
        <w:spacing w:after="0"/>
        <w:jc w:val="both"/>
        <w:rPr>
          <w:szCs w:val="24"/>
        </w:rPr>
      </w:pPr>
      <w:r w:rsidRPr="000D0169">
        <w:rPr>
          <w:szCs w:val="24"/>
        </w:rPr>
        <w:t xml:space="preserve">               - участковый  пунктов п. Сосновка;</w:t>
      </w:r>
    </w:p>
    <w:p w:rsidR="00137205" w:rsidRPr="000D0169" w:rsidRDefault="00137205" w:rsidP="002161C5">
      <w:pPr>
        <w:jc w:val="both"/>
        <w:rPr>
          <w:szCs w:val="24"/>
        </w:rPr>
      </w:pPr>
      <w:r w:rsidRPr="000D0169">
        <w:rPr>
          <w:szCs w:val="24"/>
        </w:rPr>
        <w:t xml:space="preserve">               - "Аллея умников"</w:t>
      </w:r>
      <w:r>
        <w:rPr>
          <w:szCs w:val="24"/>
        </w:rPr>
        <w:t>;</w:t>
      </w:r>
    </w:p>
    <w:p w:rsidR="00137205" w:rsidRDefault="00137205" w:rsidP="002161C5">
      <w:pPr>
        <w:pStyle w:val="a3"/>
        <w:spacing w:after="0"/>
        <w:jc w:val="both"/>
        <w:rPr>
          <w:szCs w:val="24"/>
        </w:rPr>
      </w:pPr>
      <w:r w:rsidRPr="000D0169">
        <w:rPr>
          <w:szCs w:val="24"/>
        </w:rPr>
        <w:t xml:space="preserve">               - светомузыкальный фонтан на детской площадке в г. Белоярский;</w:t>
      </w:r>
    </w:p>
    <w:p w:rsidR="00137205" w:rsidRDefault="00137205" w:rsidP="002161C5">
      <w:pPr>
        <w:pStyle w:val="a3"/>
        <w:spacing w:after="0"/>
        <w:jc w:val="both"/>
        <w:rPr>
          <w:color w:val="FF0000"/>
          <w:szCs w:val="24"/>
        </w:rPr>
      </w:pPr>
      <w:r>
        <w:rPr>
          <w:szCs w:val="24"/>
        </w:rPr>
        <w:t xml:space="preserve">               - многофункциональный центр </w:t>
      </w:r>
      <w:proofErr w:type="gramStart"/>
      <w:r>
        <w:rPr>
          <w:szCs w:val="24"/>
        </w:rPr>
        <w:t>г</w:t>
      </w:r>
      <w:proofErr w:type="gramEnd"/>
      <w:r>
        <w:rPr>
          <w:szCs w:val="24"/>
        </w:rPr>
        <w:t xml:space="preserve"> Белоярский</w:t>
      </w:r>
    </w:p>
    <w:p w:rsidR="00137205" w:rsidRPr="002F5613" w:rsidRDefault="00137205" w:rsidP="002161C5">
      <w:pPr>
        <w:pStyle w:val="a3"/>
        <w:spacing w:after="0"/>
        <w:jc w:val="both"/>
        <w:rPr>
          <w:szCs w:val="24"/>
        </w:rPr>
      </w:pPr>
      <w:r>
        <w:rPr>
          <w:color w:val="FF0000"/>
          <w:szCs w:val="24"/>
        </w:rPr>
        <w:t xml:space="preserve">              </w:t>
      </w:r>
      <w:r w:rsidRPr="001D46A7">
        <w:rPr>
          <w:szCs w:val="24"/>
        </w:rPr>
        <w:t xml:space="preserve"> -</w:t>
      </w:r>
      <w:r>
        <w:rPr>
          <w:color w:val="FF0000"/>
          <w:szCs w:val="24"/>
        </w:rPr>
        <w:t xml:space="preserve"> </w:t>
      </w:r>
      <w:r w:rsidRPr="002F5613">
        <w:rPr>
          <w:szCs w:val="24"/>
        </w:rPr>
        <w:t xml:space="preserve">автомобильная дорога до </w:t>
      </w:r>
      <w:proofErr w:type="spellStart"/>
      <w:r w:rsidRPr="002F5613">
        <w:rPr>
          <w:szCs w:val="24"/>
        </w:rPr>
        <w:t>Андры</w:t>
      </w:r>
      <w:proofErr w:type="spellEnd"/>
      <w:r w:rsidRPr="002F5613">
        <w:rPr>
          <w:szCs w:val="24"/>
        </w:rPr>
        <w:t xml:space="preserve">;     </w:t>
      </w:r>
    </w:p>
    <w:p w:rsidR="00137205" w:rsidRPr="002F5613" w:rsidRDefault="00137205" w:rsidP="002161C5">
      <w:pPr>
        <w:tabs>
          <w:tab w:val="num" w:pos="993"/>
        </w:tabs>
        <w:ind w:firstLine="709"/>
        <w:jc w:val="both"/>
        <w:rPr>
          <w:szCs w:val="24"/>
        </w:rPr>
      </w:pPr>
      <w:r w:rsidRPr="002F5613">
        <w:rPr>
          <w:szCs w:val="24"/>
        </w:rPr>
        <w:t xml:space="preserve">В </w:t>
      </w:r>
      <w:r w:rsidRPr="002F5613">
        <w:rPr>
          <w:b/>
          <w:szCs w:val="24"/>
        </w:rPr>
        <w:t>2014</w:t>
      </w:r>
      <w:r w:rsidRPr="002F5613">
        <w:rPr>
          <w:szCs w:val="24"/>
        </w:rPr>
        <w:t xml:space="preserve"> году планируется ввести в эксплуатацию:</w:t>
      </w:r>
    </w:p>
    <w:p w:rsidR="00137205" w:rsidRPr="001D46A7" w:rsidRDefault="00137205" w:rsidP="001D46A7">
      <w:pPr>
        <w:tabs>
          <w:tab w:val="num" w:pos="993"/>
        </w:tabs>
        <w:ind w:firstLine="709"/>
        <w:jc w:val="both"/>
        <w:rPr>
          <w:szCs w:val="24"/>
        </w:rPr>
      </w:pPr>
      <w:r w:rsidRPr="001D46A7">
        <w:rPr>
          <w:szCs w:val="24"/>
        </w:rPr>
        <w:t xml:space="preserve">- комплекс </w:t>
      </w:r>
      <w:proofErr w:type="gramStart"/>
      <w:r w:rsidRPr="001D46A7">
        <w:rPr>
          <w:szCs w:val="24"/>
        </w:rPr>
        <w:t>Школа-детский</w:t>
      </w:r>
      <w:proofErr w:type="gramEnd"/>
      <w:r w:rsidRPr="001D46A7">
        <w:rPr>
          <w:szCs w:val="24"/>
        </w:rPr>
        <w:t xml:space="preserve"> сад  п. Сорум на 80 мест (реконструкция здания школы);</w:t>
      </w:r>
    </w:p>
    <w:p w:rsidR="00137205" w:rsidRPr="001D46A7" w:rsidRDefault="00137205" w:rsidP="002161C5">
      <w:pPr>
        <w:numPr>
          <w:ilvl w:val="0"/>
          <w:numId w:val="1"/>
        </w:numPr>
        <w:jc w:val="both"/>
        <w:rPr>
          <w:szCs w:val="24"/>
        </w:rPr>
      </w:pPr>
      <w:r w:rsidRPr="001D46A7">
        <w:rPr>
          <w:szCs w:val="24"/>
        </w:rPr>
        <w:t xml:space="preserve">комплекс </w:t>
      </w:r>
      <w:proofErr w:type="gramStart"/>
      <w:r w:rsidRPr="001D46A7">
        <w:rPr>
          <w:szCs w:val="24"/>
        </w:rPr>
        <w:t>Школа-детский</w:t>
      </w:r>
      <w:proofErr w:type="gramEnd"/>
      <w:r w:rsidRPr="001D46A7">
        <w:rPr>
          <w:szCs w:val="24"/>
        </w:rPr>
        <w:t xml:space="preserve"> сад Лыхма на 80 мест (реконструкция здания школы);</w:t>
      </w:r>
    </w:p>
    <w:p w:rsidR="00137205" w:rsidRPr="002F5613" w:rsidRDefault="00137205" w:rsidP="002161C5">
      <w:pPr>
        <w:numPr>
          <w:ilvl w:val="0"/>
          <w:numId w:val="1"/>
        </w:numPr>
        <w:tabs>
          <w:tab w:val="num" w:pos="0"/>
          <w:tab w:val="num" w:pos="993"/>
        </w:tabs>
        <w:ind w:left="0" w:firstLine="709"/>
        <w:jc w:val="both"/>
        <w:rPr>
          <w:szCs w:val="24"/>
        </w:rPr>
      </w:pPr>
      <w:r w:rsidRPr="002F5613">
        <w:rPr>
          <w:szCs w:val="24"/>
        </w:rPr>
        <w:t xml:space="preserve">участковая больница в селе </w:t>
      </w:r>
      <w:proofErr w:type="gramStart"/>
      <w:r w:rsidRPr="002F5613">
        <w:rPr>
          <w:szCs w:val="24"/>
        </w:rPr>
        <w:t>Полноват</w:t>
      </w:r>
      <w:proofErr w:type="gramEnd"/>
      <w:r w:rsidRPr="002F5613">
        <w:rPr>
          <w:szCs w:val="24"/>
        </w:rPr>
        <w:t xml:space="preserve"> на 15 коек со стационаром на               </w:t>
      </w:r>
      <w:r w:rsidR="005D782D">
        <w:rPr>
          <w:szCs w:val="24"/>
        </w:rPr>
        <w:t xml:space="preserve">           40 посещений в смену.</w:t>
      </w:r>
      <w:bookmarkStart w:id="1" w:name="_GoBack"/>
      <w:bookmarkEnd w:id="1"/>
    </w:p>
    <w:p w:rsidR="001D46A7" w:rsidRDefault="001D46A7" w:rsidP="002161C5">
      <w:pPr>
        <w:pStyle w:val="a7"/>
        <w:ind w:left="0" w:firstLine="709"/>
        <w:rPr>
          <w:sz w:val="24"/>
          <w:szCs w:val="24"/>
        </w:rPr>
      </w:pPr>
    </w:p>
    <w:p w:rsidR="001D46A7" w:rsidRPr="001D46A7" w:rsidRDefault="001D46A7" w:rsidP="002161C5">
      <w:pPr>
        <w:pStyle w:val="a7"/>
        <w:ind w:left="0" w:firstLine="709"/>
        <w:rPr>
          <w:sz w:val="24"/>
          <w:szCs w:val="24"/>
        </w:rPr>
      </w:pPr>
      <w:r w:rsidRPr="001D46A7">
        <w:rPr>
          <w:sz w:val="24"/>
          <w:szCs w:val="24"/>
        </w:rPr>
        <w:t xml:space="preserve">В </w:t>
      </w:r>
      <w:r w:rsidRPr="001D46A7">
        <w:rPr>
          <w:b/>
          <w:sz w:val="24"/>
          <w:szCs w:val="24"/>
        </w:rPr>
        <w:t>201</w:t>
      </w:r>
      <w:r>
        <w:rPr>
          <w:b/>
          <w:sz w:val="24"/>
          <w:szCs w:val="24"/>
        </w:rPr>
        <w:t xml:space="preserve">5 </w:t>
      </w:r>
      <w:r w:rsidRPr="001D46A7">
        <w:rPr>
          <w:sz w:val="24"/>
          <w:szCs w:val="24"/>
        </w:rPr>
        <w:t>году планируется ввести в эксплуатацию:</w:t>
      </w:r>
    </w:p>
    <w:p w:rsidR="001D46A7" w:rsidRDefault="003067D9" w:rsidP="001D46A7">
      <w:pPr>
        <w:tabs>
          <w:tab w:val="num" w:pos="993"/>
        </w:tabs>
        <w:ind w:firstLine="709"/>
        <w:jc w:val="both"/>
        <w:rPr>
          <w:szCs w:val="24"/>
        </w:rPr>
      </w:pPr>
      <w:r>
        <w:rPr>
          <w:szCs w:val="24"/>
        </w:rPr>
        <w:t xml:space="preserve">- </w:t>
      </w:r>
      <w:r w:rsidR="001D46A7" w:rsidRPr="001D46A7">
        <w:rPr>
          <w:szCs w:val="24"/>
        </w:rPr>
        <w:t>комплекс «</w:t>
      </w:r>
      <w:proofErr w:type="spellStart"/>
      <w:r w:rsidR="001D46A7" w:rsidRPr="001D46A7">
        <w:rPr>
          <w:szCs w:val="24"/>
        </w:rPr>
        <w:t>Школа-детский</w:t>
      </w:r>
      <w:proofErr w:type="spellEnd"/>
      <w:r w:rsidR="001D46A7" w:rsidRPr="001D46A7">
        <w:rPr>
          <w:szCs w:val="24"/>
        </w:rPr>
        <w:t xml:space="preserve"> сад» в </w:t>
      </w:r>
      <w:proofErr w:type="spellStart"/>
      <w:r w:rsidR="001D46A7" w:rsidRPr="001D46A7">
        <w:rPr>
          <w:szCs w:val="24"/>
        </w:rPr>
        <w:t>с</w:t>
      </w:r>
      <w:proofErr w:type="gramStart"/>
      <w:r w:rsidR="001D46A7" w:rsidRPr="001D46A7">
        <w:rPr>
          <w:szCs w:val="24"/>
        </w:rPr>
        <w:t>.В</w:t>
      </w:r>
      <w:proofErr w:type="gramEnd"/>
      <w:r w:rsidR="001D46A7" w:rsidRPr="001D46A7">
        <w:rPr>
          <w:szCs w:val="24"/>
        </w:rPr>
        <w:t>анзеват</w:t>
      </w:r>
      <w:proofErr w:type="spellEnd"/>
      <w:r w:rsidR="001D46A7" w:rsidRPr="001D46A7">
        <w:rPr>
          <w:szCs w:val="24"/>
        </w:rPr>
        <w:t xml:space="preserve"> на 60 учебных мест, 20 мест детский</w:t>
      </w:r>
      <w:r w:rsidR="001D46A7">
        <w:rPr>
          <w:szCs w:val="24"/>
        </w:rPr>
        <w:t xml:space="preserve"> </w:t>
      </w:r>
      <w:r w:rsidR="001D46A7" w:rsidRPr="001D46A7">
        <w:rPr>
          <w:szCs w:val="24"/>
        </w:rPr>
        <w:t>сад (реконструкция здания школы);</w:t>
      </w:r>
    </w:p>
    <w:p w:rsidR="003067D9" w:rsidRDefault="003067D9" w:rsidP="003067D9">
      <w:pPr>
        <w:pStyle w:val="a7"/>
        <w:ind w:left="0" w:firstLine="709"/>
        <w:rPr>
          <w:sz w:val="24"/>
          <w:szCs w:val="24"/>
        </w:rPr>
      </w:pPr>
      <w:r w:rsidRPr="002F5613">
        <w:rPr>
          <w:sz w:val="24"/>
          <w:szCs w:val="24"/>
        </w:rPr>
        <w:t>- санаторно-оздоровительный корпус с плавательным бассейном на территории базы отдыха «Северянка» на 300 посещений.</w:t>
      </w:r>
    </w:p>
    <w:p w:rsidR="003067D9" w:rsidRPr="001D46A7" w:rsidRDefault="003067D9" w:rsidP="001D46A7">
      <w:pPr>
        <w:tabs>
          <w:tab w:val="num" w:pos="993"/>
        </w:tabs>
        <w:ind w:firstLine="709"/>
        <w:jc w:val="both"/>
        <w:rPr>
          <w:szCs w:val="24"/>
        </w:rPr>
      </w:pPr>
    </w:p>
    <w:p w:rsidR="00137205" w:rsidRPr="002F5613" w:rsidRDefault="00137205" w:rsidP="002161C5">
      <w:pPr>
        <w:ind w:firstLine="709"/>
        <w:rPr>
          <w:szCs w:val="24"/>
        </w:rPr>
      </w:pPr>
      <w:r w:rsidRPr="002F5613">
        <w:rPr>
          <w:szCs w:val="24"/>
        </w:rPr>
        <w:t xml:space="preserve">В </w:t>
      </w:r>
      <w:r w:rsidRPr="002F5613">
        <w:rPr>
          <w:b/>
          <w:szCs w:val="24"/>
        </w:rPr>
        <w:t>2016</w:t>
      </w:r>
      <w:r w:rsidRPr="002F5613">
        <w:rPr>
          <w:szCs w:val="24"/>
        </w:rPr>
        <w:t xml:space="preserve"> году планируется ввести в эксплуатацию:</w:t>
      </w:r>
    </w:p>
    <w:p w:rsidR="00137205" w:rsidRDefault="00137205" w:rsidP="002161C5">
      <w:pPr>
        <w:ind w:firstLine="709"/>
        <w:rPr>
          <w:szCs w:val="24"/>
        </w:rPr>
      </w:pPr>
      <w:r w:rsidRPr="002F5613">
        <w:rPr>
          <w:szCs w:val="24"/>
        </w:rPr>
        <w:t xml:space="preserve">- сельский дом культуры </w:t>
      </w:r>
      <w:proofErr w:type="gramStart"/>
      <w:r w:rsidRPr="002F5613">
        <w:rPr>
          <w:szCs w:val="24"/>
        </w:rPr>
        <w:t>в</w:t>
      </w:r>
      <w:proofErr w:type="gramEnd"/>
      <w:r w:rsidRPr="002F5613">
        <w:rPr>
          <w:szCs w:val="24"/>
        </w:rPr>
        <w:t xml:space="preserve"> с. Ванзеват</w:t>
      </w:r>
      <w:r w:rsidR="005D782D">
        <w:rPr>
          <w:szCs w:val="24"/>
        </w:rPr>
        <w:t>.</w:t>
      </w:r>
    </w:p>
    <w:p w:rsidR="009861B2" w:rsidRPr="002F5613" w:rsidRDefault="009861B2" w:rsidP="002161C5">
      <w:pPr>
        <w:ind w:firstLine="709"/>
        <w:rPr>
          <w:szCs w:val="24"/>
        </w:rPr>
      </w:pPr>
    </w:p>
    <w:p w:rsidR="00137205" w:rsidRPr="002F5613" w:rsidRDefault="00137205" w:rsidP="002161C5">
      <w:pPr>
        <w:pStyle w:val="a7"/>
        <w:tabs>
          <w:tab w:val="left" w:pos="993"/>
        </w:tabs>
        <w:ind w:left="709"/>
        <w:rPr>
          <w:sz w:val="24"/>
          <w:szCs w:val="24"/>
        </w:rPr>
      </w:pPr>
      <w:r w:rsidRPr="002F5613">
        <w:rPr>
          <w:sz w:val="24"/>
          <w:szCs w:val="24"/>
        </w:rPr>
        <w:t xml:space="preserve">В </w:t>
      </w:r>
      <w:r w:rsidRPr="002F5613">
        <w:rPr>
          <w:b/>
          <w:sz w:val="24"/>
          <w:szCs w:val="24"/>
        </w:rPr>
        <w:t>2017</w:t>
      </w:r>
      <w:r w:rsidRPr="002F5613">
        <w:rPr>
          <w:sz w:val="24"/>
          <w:szCs w:val="24"/>
        </w:rPr>
        <w:t xml:space="preserve"> году планируется ввести  в эксплуатацию:</w:t>
      </w:r>
    </w:p>
    <w:p w:rsidR="00137205" w:rsidRPr="002F5613" w:rsidRDefault="00137205" w:rsidP="002161C5">
      <w:pPr>
        <w:pStyle w:val="a3"/>
        <w:spacing w:after="0"/>
        <w:ind w:firstLine="720"/>
        <w:jc w:val="both"/>
        <w:rPr>
          <w:szCs w:val="24"/>
        </w:rPr>
      </w:pPr>
      <w:r w:rsidRPr="002F5613">
        <w:rPr>
          <w:szCs w:val="24"/>
        </w:rPr>
        <w:t xml:space="preserve">- </w:t>
      </w:r>
      <w:proofErr w:type="spellStart"/>
      <w:r w:rsidRPr="002F5613">
        <w:rPr>
          <w:szCs w:val="24"/>
        </w:rPr>
        <w:t>энергоэффективный</w:t>
      </w:r>
      <w:proofErr w:type="spellEnd"/>
      <w:r w:rsidRPr="002F5613">
        <w:rPr>
          <w:szCs w:val="24"/>
        </w:rPr>
        <w:t xml:space="preserve"> детский сад в г</w:t>
      </w:r>
      <w:proofErr w:type="gramStart"/>
      <w:r w:rsidRPr="002F5613">
        <w:rPr>
          <w:szCs w:val="24"/>
        </w:rPr>
        <w:t>.Б</w:t>
      </w:r>
      <w:proofErr w:type="gramEnd"/>
      <w:r w:rsidRPr="002F5613">
        <w:rPr>
          <w:szCs w:val="24"/>
        </w:rPr>
        <w:t xml:space="preserve">елоярский, </w:t>
      </w:r>
      <w:proofErr w:type="spellStart"/>
      <w:r w:rsidRPr="002F5613">
        <w:rPr>
          <w:szCs w:val="24"/>
        </w:rPr>
        <w:t>мкр</w:t>
      </w:r>
      <w:proofErr w:type="spellEnd"/>
      <w:r w:rsidRPr="002F5613">
        <w:rPr>
          <w:szCs w:val="24"/>
        </w:rPr>
        <w:t>. 3А</w:t>
      </w:r>
      <w:r w:rsidR="005D782D">
        <w:rPr>
          <w:szCs w:val="24"/>
        </w:rPr>
        <w:t>.</w:t>
      </w:r>
    </w:p>
    <w:p w:rsidR="00341D90" w:rsidRDefault="00341D90" w:rsidP="002161C5">
      <w:pPr>
        <w:pStyle w:val="a3"/>
        <w:spacing w:after="0"/>
        <w:ind w:firstLine="720"/>
        <w:jc w:val="both"/>
        <w:rPr>
          <w:color w:val="FF0000"/>
          <w:szCs w:val="24"/>
        </w:rPr>
      </w:pPr>
    </w:p>
    <w:p w:rsidR="00003EDF" w:rsidRPr="00F1088B" w:rsidRDefault="00003EDF" w:rsidP="002161C5">
      <w:pPr>
        <w:pStyle w:val="a3"/>
        <w:spacing w:after="0"/>
        <w:ind w:firstLine="720"/>
        <w:jc w:val="both"/>
        <w:rPr>
          <w:color w:val="FF0000"/>
          <w:szCs w:val="24"/>
        </w:rPr>
      </w:pPr>
    </w:p>
    <w:p w:rsidR="006F0522" w:rsidRPr="002E6982" w:rsidRDefault="006F0522" w:rsidP="002161C5">
      <w:pPr>
        <w:jc w:val="center"/>
        <w:rPr>
          <w:b/>
          <w:szCs w:val="24"/>
        </w:rPr>
      </w:pPr>
      <w:r w:rsidRPr="002E6982">
        <w:rPr>
          <w:b/>
          <w:szCs w:val="24"/>
        </w:rPr>
        <w:t>Потребительский рынок</w:t>
      </w:r>
    </w:p>
    <w:p w:rsidR="00080B1C" w:rsidRPr="002E6982" w:rsidRDefault="00080B1C" w:rsidP="002161C5">
      <w:pPr>
        <w:jc w:val="center"/>
        <w:rPr>
          <w:b/>
          <w:szCs w:val="24"/>
        </w:rPr>
      </w:pPr>
    </w:p>
    <w:p w:rsidR="006F0522" w:rsidRPr="002E6982" w:rsidRDefault="006F0522" w:rsidP="002161C5">
      <w:pPr>
        <w:ind w:firstLine="720"/>
        <w:jc w:val="both"/>
        <w:rPr>
          <w:szCs w:val="24"/>
        </w:rPr>
      </w:pPr>
      <w:r w:rsidRPr="002E6982">
        <w:rPr>
          <w:szCs w:val="24"/>
        </w:rPr>
        <w:t xml:space="preserve">На территории Белоярского района на протяжении последних лет сложилась благоприятная экономическая конъюнктура, рост реальной заработной платы и пенсий способствовали дальнейшему увеличению потребительского спроса населения. </w:t>
      </w:r>
    </w:p>
    <w:p w:rsidR="006F0522" w:rsidRDefault="006F0522" w:rsidP="002161C5">
      <w:pPr>
        <w:ind w:firstLine="720"/>
        <w:jc w:val="both"/>
        <w:rPr>
          <w:szCs w:val="24"/>
        </w:rPr>
      </w:pPr>
      <w:r w:rsidRPr="002E6982">
        <w:rPr>
          <w:szCs w:val="24"/>
        </w:rPr>
        <w:t>В оценке 2014 года жителям и гостям Белоярского района в денежном эквиваленте будет продано товаров, оказано услуг общественного питания и платных услуг населению на сумму 5 302,3 млн. рублей или 103,5% в сопоставимых ценах по отношению к              2013 году.</w:t>
      </w:r>
    </w:p>
    <w:p w:rsidR="00003EDF" w:rsidRPr="008B725F" w:rsidRDefault="00003EDF" w:rsidP="00003EDF">
      <w:pPr>
        <w:ind w:firstLine="720"/>
        <w:jc w:val="both"/>
        <w:rPr>
          <w:szCs w:val="24"/>
        </w:rPr>
      </w:pPr>
      <w:r w:rsidRPr="002E6982">
        <w:rPr>
          <w:szCs w:val="24"/>
        </w:rPr>
        <w:t xml:space="preserve">Объем потребительского рынка в базовом варианте прогноза на 2015 год составит 5 796,9 млн. рублей (104,0% в сопоставимых ценах к 2014 году), на 2016 год – 6 381,5 млн. рублей </w:t>
      </w:r>
      <w:r w:rsidRPr="008B725F">
        <w:rPr>
          <w:szCs w:val="24"/>
        </w:rPr>
        <w:t>(105,1% в сопоставимых ценах к 2015 году), на 2017 год – 7 190,9 млн. рублей (107,9% в сопоставимых ценах к 2016 году).</w:t>
      </w:r>
    </w:p>
    <w:p w:rsidR="00003EDF" w:rsidRPr="002E6982" w:rsidRDefault="00003EDF" w:rsidP="002161C5">
      <w:pPr>
        <w:ind w:firstLine="720"/>
        <w:jc w:val="both"/>
        <w:rPr>
          <w:szCs w:val="24"/>
        </w:rPr>
      </w:pPr>
    </w:p>
    <w:p w:rsidR="006F0522" w:rsidRDefault="006F0522" w:rsidP="002161C5">
      <w:pPr>
        <w:ind w:firstLine="720"/>
        <w:jc w:val="both"/>
        <w:rPr>
          <w:szCs w:val="24"/>
        </w:rPr>
      </w:pPr>
    </w:p>
    <w:p w:rsidR="00003EDF" w:rsidRDefault="00003EDF" w:rsidP="002161C5">
      <w:pPr>
        <w:ind w:firstLine="720"/>
        <w:jc w:val="both"/>
        <w:rPr>
          <w:szCs w:val="24"/>
        </w:rPr>
      </w:pPr>
    </w:p>
    <w:p w:rsidR="00003EDF" w:rsidRPr="002E6982" w:rsidRDefault="00003EDF" w:rsidP="002161C5">
      <w:pPr>
        <w:ind w:firstLine="720"/>
        <w:jc w:val="both"/>
        <w:rPr>
          <w:szCs w:val="24"/>
        </w:rPr>
      </w:pPr>
    </w:p>
    <w:p w:rsidR="006F0522" w:rsidRPr="002E6982" w:rsidRDefault="006F0522" w:rsidP="002161C5">
      <w:pPr>
        <w:ind w:firstLine="720"/>
        <w:jc w:val="right"/>
        <w:rPr>
          <w:szCs w:val="24"/>
        </w:rPr>
      </w:pPr>
      <w:r w:rsidRPr="002E6982">
        <w:rPr>
          <w:szCs w:val="24"/>
        </w:rPr>
        <w:lastRenderedPageBreak/>
        <w:t xml:space="preserve">  Диаграмма </w:t>
      </w:r>
      <w:r w:rsidR="00080B1C" w:rsidRPr="002E6982">
        <w:rPr>
          <w:szCs w:val="24"/>
        </w:rPr>
        <w:t>1</w:t>
      </w:r>
      <w:r w:rsidRPr="002E6982">
        <w:rPr>
          <w:szCs w:val="24"/>
        </w:rPr>
        <w:t>1</w:t>
      </w:r>
    </w:p>
    <w:p w:rsidR="006F0522" w:rsidRPr="002E6982" w:rsidRDefault="006F0522" w:rsidP="002161C5">
      <w:pPr>
        <w:jc w:val="both"/>
        <w:rPr>
          <w:szCs w:val="24"/>
        </w:rPr>
      </w:pPr>
      <w:r w:rsidRPr="002E6982">
        <w:rPr>
          <w:noProof/>
          <w:szCs w:val="24"/>
        </w:rPr>
        <w:drawing>
          <wp:inline distT="0" distB="0" distL="0" distR="0">
            <wp:extent cx="6022340" cy="2914650"/>
            <wp:effectExtent l="19050" t="0" r="16510" b="0"/>
            <wp:docPr id="2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F0522" w:rsidRPr="002E6982" w:rsidRDefault="006F0522" w:rsidP="002161C5">
      <w:pPr>
        <w:jc w:val="both"/>
        <w:rPr>
          <w:szCs w:val="24"/>
        </w:rPr>
      </w:pPr>
    </w:p>
    <w:p w:rsidR="006F0522" w:rsidRPr="008B725F" w:rsidRDefault="006F0522" w:rsidP="002161C5">
      <w:pPr>
        <w:ind w:firstLine="720"/>
        <w:jc w:val="both"/>
        <w:rPr>
          <w:bCs/>
          <w:szCs w:val="24"/>
        </w:rPr>
      </w:pPr>
      <w:r w:rsidRPr="008B725F">
        <w:rPr>
          <w:szCs w:val="24"/>
        </w:rPr>
        <w:t>Развитию потребительского рынка и росту его объемов на территории Белоярского района в среднесрочной перспективе поспособствует новый двухуровневый многофункциональный торгово-развлекательный центр «</w:t>
      </w:r>
      <w:r w:rsidRPr="008B725F">
        <w:rPr>
          <w:bCs/>
          <w:szCs w:val="24"/>
        </w:rPr>
        <w:t>OASIS PLAZA»</w:t>
      </w:r>
      <w:r w:rsidR="005D63A4" w:rsidRPr="008B725F">
        <w:rPr>
          <w:bCs/>
          <w:szCs w:val="24"/>
        </w:rPr>
        <w:t xml:space="preserve"> в </w:t>
      </w:r>
      <w:proofErr w:type="gramStart"/>
      <w:r w:rsidR="005D63A4" w:rsidRPr="008B725F">
        <w:rPr>
          <w:bCs/>
          <w:szCs w:val="24"/>
        </w:rPr>
        <w:t>г</w:t>
      </w:r>
      <w:proofErr w:type="gramEnd"/>
      <w:r w:rsidR="005D63A4" w:rsidRPr="008B725F">
        <w:rPr>
          <w:bCs/>
          <w:szCs w:val="24"/>
        </w:rPr>
        <w:t>. Белоярский</w:t>
      </w:r>
      <w:r w:rsidRPr="008B725F">
        <w:rPr>
          <w:bCs/>
          <w:szCs w:val="24"/>
        </w:rPr>
        <w:t xml:space="preserve">, строительство которого запланировано в </w:t>
      </w:r>
      <w:proofErr w:type="spellStart"/>
      <w:r w:rsidRPr="008B725F">
        <w:rPr>
          <w:bCs/>
          <w:szCs w:val="24"/>
        </w:rPr>
        <w:t>мкр</w:t>
      </w:r>
      <w:proofErr w:type="spellEnd"/>
      <w:r w:rsidRPr="008B725F">
        <w:rPr>
          <w:bCs/>
          <w:szCs w:val="24"/>
        </w:rPr>
        <w:t xml:space="preserve">. 5 в 2014-2016 годах. </w:t>
      </w:r>
      <w:r w:rsidRPr="008B725F">
        <w:rPr>
          <w:szCs w:val="24"/>
        </w:rPr>
        <w:t xml:space="preserve">Общая площадь торгово-развлекательного центра будет составлять 16-17 тыс.кв.м. На территории торгового центра будут размещены магазины известных мировых брендов, сетевые промышленные и продовольственные магазины, гипермаркет, 5 кинозалов. </w:t>
      </w:r>
      <w:r w:rsidRPr="008B725F">
        <w:rPr>
          <w:bCs/>
          <w:szCs w:val="24"/>
        </w:rPr>
        <w:t>В апреле 2014 года начаты работы по забивке свай. К сентябрю 2015 года запланирован ввод 1 очереди гипермаркета площадью 3,5 тыс.м</w:t>
      </w:r>
      <w:proofErr w:type="gramStart"/>
      <w:r w:rsidRPr="008B725F">
        <w:rPr>
          <w:bCs/>
          <w:szCs w:val="24"/>
        </w:rPr>
        <w:t>2</w:t>
      </w:r>
      <w:proofErr w:type="gramEnd"/>
      <w:r w:rsidRPr="008B725F">
        <w:rPr>
          <w:bCs/>
          <w:szCs w:val="24"/>
        </w:rPr>
        <w:t>. Ввод торгово-развлекательного комплекса планируется в 2016 году.</w:t>
      </w:r>
      <w:r w:rsidR="005D63A4" w:rsidRPr="008B725F">
        <w:rPr>
          <w:bCs/>
          <w:szCs w:val="24"/>
        </w:rPr>
        <w:t xml:space="preserve"> Планируемый объем инвестиций составит 600,0 млн. рублей.</w:t>
      </w:r>
    </w:p>
    <w:p w:rsidR="006F0522" w:rsidRPr="002E6982" w:rsidRDefault="006F0522" w:rsidP="002161C5">
      <w:pPr>
        <w:ind w:firstLine="720"/>
        <w:jc w:val="both"/>
        <w:rPr>
          <w:bCs/>
          <w:szCs w:val="24"/>
        </w:rPr>
      </w:pPr>
      <w:r w:rsidRPr="008B725F">
        <w:rPr>
          <w:bCs/>
          <w:szCs w:val="24"/>
        </w:rPr>
        <w:t xml:space="preserve">Также в июне 2014 года в г. </w:t>
      </w:r>
      <w:proofErr w:type="gramStart"/>
      <w:r w:rsidRPr="008B725F">
        <w:rPr>
          <w:bCs/>
          <w:szCs w:val="24"/>
        </w:rPr>
        <w:t>Белоярский</w:t>
      </w:r>
      <w:proofErr w:type="gramEnd"/>
      <w:r w:rsidRPr="008B725F">
        <w:rPr>
          <w:bCs/>
          <w:szCs w:val="24"/>
        </w:rPr>
        <w:t xml:space="preserve">, </w:t>
      </w:r>
      <w:proofErr w:type="spellStart"/>
      <w:r w:rsidRPr="008B725F">
        <w:rPr>
          <w:bCs/>
          <w:szCs w:val="24"/>
        </w:rPr>
        <w:t>мкр</w:t>
      </w:r>
      <w:proofErr w:type="spellEnd"/>
      <w:r w:rsidRPr="008B725F">
        <w:rPr>
          <w:bCs/>
          <w:szCs w:val="24"/>
        </w:rPr>
        <w:t xml:space="preserve">. Мирный </w:t>
      </w:r>
      <w:r w:rsidR="002E6982" w:rsidRPr="008B725F">
        <w:rPr>
          <w:bCs/>
          <w:szCs w:val="24"/>
        </w:rPr>
        <w:t>начато</w:t>
      </w:r>
      <w:r w:rsidRPr="008B725F">
        <w:rPr>
          <w:bCs/>
          <w:szCs w:val="24"/>
        </w:rPr>
        <w:t xml:space="preserve"> строительство двухэтажного кафе общей площадью 801 кв</w:t>
      </w:r>
      <w:proofErr w:type="gramStart"/>
      <w:r w:rsidRPr="008B725F">
        <w:rPr>
          <w:bCs/>
          <w:szCs w:val="24"/>
        </w:rPr>
        <w:t>.м</w:t>
      </w:r>
      <w:proofErr w:type="gramEnd"/>
      <w:r w:rsidRPr="008B725F">
        <w:rPr>
          <w:bCs/>
          <w:szCs w:val="24"/>
        </w:rPr>
        <w:t xml:space="preserve"> на 50 посадочных мест (ИП </w:t>
      </w:r>
      <w:proofErr w:type="spellStart"/>
      <w:r w:rsidRPr="008B725F">
        <w:rPr>
          <w:bCs/>
          <w:szCs w:val="24"/>
        </w:rPr>
        <w:t>Гаджихалилов</w:t>
      </w:r>
      <w:proofErr w:type="spellEnd"/>
      <w:r w:rsidRPr="008B725F">
        <w:rPr>
          <w:bCs/>
          <w:szCs w:val="24"/>
        </w:rPr>
        <w:t xml:space="preserve"> А.Я.)</w:t>
      </w:r>
      <w:r w:rsidR="002E6982" w:rsidRPr="008B725F">
        <w:rPr>
          <w:bCs/>
          <w:szCs w:val="24"/>
        </w:rPr>
        <w:t xml:space="preserve"> со сроком окончания в июне 2015 года</w:t>
      </w:r>
      <w:r w:rsidRPr="008B725F">
        <w:rPr>
          <w:bCs/>
          <w:szCs w:val="24"/>
        </w:rPr>
        <w:t xml:space="preserve">. По проекту объект общественного питания будет включать в себя зал с баром на первом этаже, а также общий зал и 2 банкетных </w:t>
      </w:r>
      <w:r w:rsidR="00C37825" w:rsidRPr="008B725F">
        <w:rPr>
          <w:bCs/>
          <w:szCs w:val="24"/>
        </w:rPr>
        <w:t xml:space="preserve">           </w:t>
      </w:r>
      <w:r w:rsidRPr="008B725F">
        <w:rPr>
          <w:bCs/>
          <w:szCs w:val="24"/>
        </w:rPr>
        <w:t>зала - на втором этаже. Планируемый объем инвестиций составит до 20 млн. рублей. Ввод кафе позволит создать 15 новых рабочих мест.</w:t>
      </w:r>
    </w:p>
    <w:p w:rsidR="006F0522" w:rsidRPr="002E6982" w:rsidRDefault="006F0522" w:rsidP="002161C5">
      <w:pPr>
        <w:jc w:val="both"/>
        <w:rPr>
          <w:b/>
          <w:szCs w:val="24"/>
        </w:rPr>
      </w:pPr>
    </w:p>
    <w:p w:rsidR="00925388" w:rsidRPr="002E6982" w:rsidRDefault="006F0522" w:rsidP="00003EDF">
      <w:pPr>
        <w:ind w:firstLine="709"/>
        <w:rPr>
          <w:b/>
          <w:i/>
          <w:szCs w:val="24"/>
        </w:rPr>
      </w:pPr>
      <w:r w:rsidRPr="002E6982">
        <w:rPr>
          <w:b/>
          <w:i/>
          <w:szCs w:val="24"/>
        </w:rPr>
        <w:t>Оборот розничной торговли</w:t>
      </w:r>
    </w:p>
    <w:p w:rsidR="006F0522" w:rsidRPr="002E6982" w:rsidRDefault="006F0522" w:rsidP="002161C5">
      <w:pPr>
        <w:ind w:firstLine="720"/>
        <w:jc w:val="both"/>
        <w:rPr>
          <w:szCs w:val="24"/>
        </w:rPr>
      </w:pPr>
      <w:r w:rsidRPr="002E6982">
        <w:rPr>
          <w:szCs w:val="24"/>
        </w:rPr>
        <w:t xml:space="preserve">Объем </w:t>
      </w:r>
      <w:r w:rsidRPr="002E6982">
        <w:rPr>
          <w:b/>
          <w:szCs w:val="24"/>
        </w:rPr>
        <w:t>розничного товарооборота</w:t>
      </w:r>
      <w:r w:rsidRPr="002E6982">
        <w:rPr>
          <w:szCs w:val="24"/>
        </w:rPr>
        <w:t xml:space="preserve"> по всем формам проявления за 2013 год составил </w:t>
      </w:r>
      <w:r w:rsidRPr="002E6982">
        <w:rPr>
          <w:b/>
          <w:szCs w:val="24"/>
        </w:rPr>
        <w:t>2 894,99 млн. рублей</w:t>
      </w:r>
      <w:r w:rsidRPr="002E6982">
        <w:rPr>
          <w:szCs w:val="24"/>
        </w:rPr>
        <w:t xml:space="preserve"> (104,8% в сопоставимых ценах к уровню 2012 года), в расчете  на одного жителя - 96,8 тыс. рублей. </w:t>
      </w:r>
    </w:p>
    <w:p w:rsidR="006F0522" w:rsidRPr="002E6982" w:rsidRDefault="006F0522" w:rsidP="002161C5">
      <w:pPr>
        <w:ind w:firstLine="720"/>
        <w:jc w:val="both"/>
        <w:rPr>
          <w:szCs w:val="24"/>
        </w:rPr>
      </w:pPr>
      <w:r w:rsidRPr="002E6982">
        <w:rPr>
          <w:szCs w:val="24"/>
        </w:rPr>
        <w:t xml:space="preserve">В оценке 2014 года оборот розничной торговли по полному кругу предприятий составит 3 185,97 млн. рублей, индекс физического объема оценочно составит 103,5% в сопоставимых ценах по отношению к 2013 году. </w:t>
      </w:r>
    </w:p>
    <w:p w:rsidR="006F0522" w:rsidRPr="002E6982" w:rsidRDefault="006F0522" w:rsidP="002161C5">
      <w:pPr>
        <w:ind w:firstLine="720"/>
        <w:jc w:val="both"/>
        <w:rPr>
          <w:szCs w:val="24"/>
        </w:rPr>
      </w:pPr>
      <w:r w:rsidRPr="002E6982">
        <w:rPr>
          <w:szCs w:val="24"/>
        </w:rPr>
        <w:t>Розничный товарооборот в среднесрочной перспективе составит: 2015 год –            3 480,47 млн. рублей (104,2% в сопоставимых ценах к уровню 2014 года), 2016 год – 3 817,08 млн. рублей (105,2% в сопоставимых ценах к уровню 2015 года), 2017 год – 4 309,97 млн. рублей (108,6% в сопоставимых ценах к уровню 2016 года).</w:t>
      </w:r>
    </w:p>
    <w:p w:rsidR="006F0522" w:rsidRPr="002E6982" w:rsidRDefault="006F0522" w:rsidP="002161C5">
      <w:pPr>
        <w:pStyle w:val="31"/>
        <w:ind w:firstLine="720"/>
        <w:jc w:val="both"/>
        <w:rPr>
          <w:sz w:val="24"/>
          <w:szCs w:val="24"/>
        </w:rPr>
      </w:pPr>
      <w:r w:rsidRPr="002E6982">
        <w:rPr>
          <w:sz w:val="24"/>
          <w:szCs w:val="24"/>
        </w:rPr>
        <w:t xml:space="preserve">Основная часть оборота розничной торговли в прогнозируемом 2014 году будет обеспечиваться предприятиями малого бизнеса, так как предприятия малого и среднего бизнеса регулярно расширяют свою торговую сеть. </w:t>
      </w:r>
    </w:p>
    <w:p w:rsidR="006F0522" w:rsidRDefault="006F0522" w:rsidP="002161C5">
      <w:pPr>
        <w:jc w:val="center"/>
        <w:rPr>
          <w:i/>
          <w:szCs w:val="24"/>
        </w:rPr>
      </w:pPr>
    </w:p>
    <w:p w:rsidR="00003EDF" w:rsidRPr="002E6982" w:rsidRDefault="00003EDF" w:rsidP="002161C5">
      <w:pPr>
        <w:jc w:val="center"/>
        <w:rPr>
          <w:i/>
          <w:szCs w:val="24"/>
        </w:rPr>
      </w:pPr>
    </w:p>
    <w:p w:rsidR="00925388" w:rsidRPr="002E6982" w:rsidRDefault="006F0522" w:rsidP="00003EDF">
      <w:pPr>
        <w:ind w:firstLine="709"/>
        <w:rPr>
          <w:b/>
          <w:i/>
          <w:szCs w:val="24"/>
        </w:rPr>
      </w:pPr>
      <w:r w:rsidRPr="002E6982">
        <w:rPr>
          <w:b/>
          <w:i/>
          <w:szCs w:val="24"/>
        </w:rPr>
        <w:lastRenderedPageBreak/>
        <w:t>Оборот общественного питания</w:t>
      </w:r>
    </w:p>
    <w:p w:rsidR="006F0522" w:rsidRPr="002E6982" w:rsidRDefault="006F0522" w:rsidP="002161C5">
      <w:pPr>
        <w:autoSpaceDE w:val="0"/>
        <w:autoSpaceDN w:val="0"/>
        <w:adjustRightInd w:val="0"/>
        <w:ind w:firstLine="708"/>
        <w:jc w:val="both"/>
        <w:rPr>
          <w:szCs w:val="24"/>
        </w:rPr>
      </w:pPr>
      <w:r w:rsidRPr="002E6982">
        <w:rPr>
          <w:szCs w:val="24"/>
        </w:rPr>
        <w:t xml:space="preserve">Оборот </w:t>
      </w:r>
      <w:r w:rsidRPr="002E6982">
        <w:rPr>
          <w:b/>
          <w:szCs w:val="24"/>
        </w:rPr>
        <w:t>общественного питания</w:t>
      </w:r>
      <w:r w:rsidRPr="002E6982">
        <w:rPr>
          <w:szCs w:val="24"/>
        </w:rPr>
        <w:t xml:space="preserve"> за 2013 год значительно увеличился и составил </w:t>
      </w:r>
      <w:r w:rsidRPr="002E6982">
        <w:rPr>
          <w:b/>
          <w:szCs w:val="24"/>
        </w:rPr>
        <w:t>534,47 млн. рублей</w:t>
      </w:r>
      <w:r w:rsidRPr="002E6982">
        <w:rPr>
          <w:szCs w:val="24"/>
        </w:rPr>
        <w:t>, индекс физического объема – 118,8% в сопоставимых ценах по отношению к 2012 году.</w:t>
      </w:r>
    </w:p>
    <w:p w:rsidR="006F0522" w:rsidRPr="002E6982" w:rsidRDefault="006F0522" w:rsidP="002161C5">
      <w:pPr>
        <w:ind w:firstLine="720"/>
        <w:jc w:val="both"/>
        <w:rPr>
          <w:szCs w:val="24"/>
        </w:rPr>
      </w:pPr>
      <w:r w:rsidRPr="002E6982">
        <w:rPr>
          <w:szCs w:val="24"/>
        </w:rPr>
        <w:t xml:space="preserve">Постепенно, наращивая обороты из года в год, сфера общественного питания развивается. По  состоянию на 1 января 2014 года на территории Белоярского района функционирует 41 объект общественного питания на 3100 посадочных мест, в том числе 24 предприятия открытой сети на 1231 посадочное место. </w:t>
      </w:r>
    </w:p>
    <w:p w:rsidR="006F0522" w:rsidRPr="002E6982" w:rsidRDefault="006F0522" w:rsidP="002161C5">
      <w:pPr>
        <w:ind w:firstLine="720"/>
        <w:jc w:val="both"/>
        <w:rPr>
          <w:szCs w:val="24"/>
        </w:rPr>
      </w:pPr>
      <w:r w:rsidRPr="002E6982">
        <w:rPr>
          <w:szCs w:val="24"/>
        </w:rPr>
        <w:t xml:space="preserve">По оценочным данным, оборот общественного питания за 2014 год составит 628,74 млн. рублей или 110,3% в сопоставимых ценах по отношению к 2013 году. Показатель оборота общественного питания  при базовом варианте прогноза составит: 2015 год – 714,39 млн. рублей, 2016 год – 832,86 млн. рублей, 2017 год – 991,85 млн. рублей. Индекс физического объема в прогнозном периоде 2015-2017 годов составит в сопоставимых ценах 108,1% - 114,1%  </w:t>
      </w:r>
    </w:p>
    <w:p w:rsidR="008B725F" w:rsidRPr="002E6982" w:rsidRDefault="008B725F" w:rsidP="008B725F">
      <w:pPr>
        <w:rPr>
          <w:b/>
          <w:i/>
          <w:szCs w:val="24"/>
        </w:rPr>
      </w:pPr>
    </w:p>
    <w:p w:rsidR="008B725F" w:rsidRPr="00AF6C9A" w:rsidRDefault="006F0522" w:rsidP="00003EDF">
      <w:pPr>
        <w:ind w:firstLine="709"/>
        <w:rPr>
          <w:b/>
          <w:i/>
          <w:szCs w:val="24"/>
        </w:rPr>
      </w:pPr>
      <w:r w:rsidRPr="00AF6C9A">
        <w:rPr>
          <w:b/>
          <w:i/>
          <w:szCs w:val="24"/>
        </w:rPr>
        <w:t>Платные услуги населению</w:t>
      </w:r>
    </w:p>
    <w:p w:rsidR="006F0522" w:rsidRPr="00AF6C9A" w:rsidRDefault="006F0522" w:rsidP="002161C5">
      <w:pPr>
        <w:ind w:firstLine="720"/>
        <w:jc w:val="both"/>
        <w:rPr>
          <w:szCs w:val="24"/>
        </w:rPr>
      </w:pPr>
      <w:r w:rsidRPr="00AF6C9A">
        <w:rPr>
          <w:szCs w:val="24"/>
        </w:rPr>
        <w:t>Объем</w:t>
      </w:r>
      <w:r w:rsidRPr="00AF6C9A">
        <w:rPr>
          <w:b/>
          <w:szCs w:val="24"/>
        </w:rPr>
        <w:t xml:space="preserve"> реализации платных услуг </w:t>
      </w:r>
      <w:r w:rsidRPr="00AF6C9A">
        <w:rPr>
          <w:szCs w:val="24"/>
        </w:rPr>
        <w:t xml:space="preserve">за 2013 год составил </w:t>
      </w:r>
      <w:r w:rsidRPr="00AF6C9A">
        <w:rPr>
          <w:b/>
          <w:szCs w:val="24"/>
        </w:rPr>
        <w:t>1 370,29 млн. рублей</w:t>
      </w:r>
      <w:r w:rsidRPr="00AF6C9A">
        <w:rPr>
          <w:szCs w:val="24"/>
        </w:rPr>
        <w:t xml:space="preserve"> или 104,8% в сопоставимых ценах к уровню 2012 года.</w:t>
      </w:r>
    </w:p>
    <w:p w:rsidR="006F0522" w:rsidRPr="00AF6C9A" w:rsidRDefault="006F0522" w:rsidP="002161C5">
      <w:pPr>
        <w:ind w:firstLine="720"/>
        <w:jc w:val="both"/>
        <w:rPr>
          <w:szCs w:val="24"/>
        </w:rPr>
      </w:pPr>
      <w:r w:rsidRPr="00AF6C9A">
        <w:rPr>
          <w:bCs/>
          <w:szCs w:val="24"/>
        </w:rPr>
        <w:t xml:space="preserve">Основной удельный вес в объеме реализации платных услуг населению </w:t>
      </w:r>
      <w:r w:rsidRPr="00AF6C9A">
        <w:rPr>
          <w:szCs w:val="24"/>
        </w:rPr>
        <w:t xml:space="preserve">приходится на </w:t>
      </w:r>
      <w:r w:rsidRPr="00AF6C9A">
        <w:rPr>
          <w:b/>
          <w:szCs w:val="24"/>
        </w:rPr>
        <w:t>услуги связи</w:t>
      </w:r>
      <w:r w:rsidRPr="00AF6C9A">
        <w:rPr>
          <w:szCs w:val="24"/>
        </w:rPr>
        <w:t xml:space="preserve">, доля которых по оценочным данным в 2013 году составляет 33,8%, а также </w:t>
      </w:r>
      <w:r w:rsidRPr="00AF6C9A">
        <w:rPr>
          <w:b/>
          <w:szCs w:val="24"/>
        </w:rPr>
        <w:t>жилищные и коммунальные услуги</w:t>
      </w:r>
      <w:r w:rsidRPr="00AF6C9A">
        <w:rPr>
          <w:szCs w:val="24"/>
        </w:rPr>
        <w:t xml:space="preserve"> –  15,5% и 21,8% соответственно.</w:t>
      </w:r>
    </w:p>
    <w:p w:rsidR="006F0522" w:rsidRPr="00AF6C9A" w:rsidRDefault="006F0522" w:rsidP="002161C5">
      <w:pPr>
        <w:ind w:firstLine="720"/>
        <w:jc w:val="both"/>
        <w:rPr>
          <w:szCs w:val="24"/>
        </w:rPr>
      </w:pPr>
      <w:r w:rsidRPr="00AF6C9A">
        <w:rPr>
          <w:szCs w:val="24"/>
        </w:rPr>
        <w:t xml:space="preserve">По оценочным данным, объем реализации платных услуг населению в 2014 году составит 1 487,6 млн. рублей или 101,2% к уровню 2013 года в сопоставимых ценах. В структуре платных услуг в 2014 году, как и в 2013 году, наибольший удельный вес ожидается по услугам связи (33,7%), жилищным и коммунальным услугам (15,7% и 21,9% соответственно). </w:t>
      </w:r>
    </w:p>
    <w:p w:rsidR="006F0522" w:rsidRPr="00AF6C9A" w:rsidRDefault="006F0522" w:rsidP="002161C5">
      <w:pPr>
        <w:ind w:firstLine="720"/>
        <w:jc w:val="both"/>
        <w:rPr>
          <w:szCs w:val="24"/>
        </w:rPr>
      </w:pPr>
      <w:r w:rsidRPr="00AF6C9A">
        <w:rPr>
          <w:szCs w:val="24"/>
        </w:rPr>
        <w:t xml:space="preserve">В 2014 году на сферу малого предпринимательства будет приходиться большая часть объема оказанных платных услуг населению. К числу платных услуг населению, предоставляемых представителями малого бизнеса относятся транспортные и бытовые услуги, туристские услуги, медицинские, услуги правового характера, услуги в системе образования и др.  </w:t>
      </w:r>
    </w:p>
    <w:p w:rsidR="005D63A4" w:rsidRPr="00AF6C9A" w:rsidRDefault="006F0522" w:rsidP="002161C5">
      <w:pPr>
        <w:ind w:firstLine="720"/>
        <w:jc w:val="both"/>
        <w:rPr>
          <w:szCs w:val="24"/>
        </w:rPr>
      </w:pPr>
      <w:r w:rsidRPr="00AF6C9A">
        <w:rPr>
          <w:b/>
          <w:szCs w:val="24"/>
        </w:rPr>
        <w:t>Услуги связи</w:t>
      </w:r>
      <w:r w:rsidRPr="00AF6C9A">
        <w:rPr>
          <w:szCs w:val="24"/>
        </w:rPr>
        <w:t xml:space="preserve"> представляются региональным отделением «Уральский Джи Эс Эм» (ОАО «Мегафон»), ОАО «Ростелеком», «Билайн </w:t>
      </w:r>
      <w:r w:rsidRPr="00AF6C9A">
        <w:rPr>
          <w:szCs w:val="24"/>
          <w:lang w:val="en-US"/>
        </w:rPr>
        <w:t>GSM</w:t>
      </w:r>
      <w:r w:rsidRPr="00AF6C9A">
        <w:rPr>
          <w:szCs w:val="24"/>
        </w:rPr>
        <w:t xml:space="preserve">», ОАО «Мобильные </w:t>
      </w:r>
      <w:proofErr w:type="spellStart"/>
      <w:r w:rsidRPr="00AF6C9A">
        <w:rPr>
          <w:szCs w:val="24"/>
        </w:rPr>
        <w:t>ТелеСистемы</w:t>
      </w:r>
      <w:proofErr w:type="spellEnd"/>
      <w:r w:rsidRPr="00AF6C9A">
        <w:rPr>
          <w:szCs w:val="24"/>
        </w:rPr>
        <w:t>» («МТС»). Рост показателей услуг св</w:t>
      </w:r>
      <w:r w:rsidR="005D63A4" w:rsidRPr="00AF6C9A">
        <w:rPr>
          <w:szCs w:val="24"/>
        </w:rPr>
        <w:t xml:space="preserve">язи в сопоставимых ценах ожидается в связи с </w:t>
      </w:r>
      <w:r w:rsidRPr="00AF6C9A">
        <w:rPr>
          <w:szCs w:val="24"/>
        </w:rPr>
        <w:t>расширением интернет-услу</w:t>
      </w:r>
      <w:r w:rsidR="005D63A4" w:rsidRPr="00AF6C9A">
        <w:rPr>
          <w:szCs w:val="24"/>
        </w:rPr>
        <w:t xml:space="preserve">г, а также повышения качества Интернет-услуг. </w:t>
      </w:r>
      <w:r w:rsidR="005D63A4" w:rsidRPr="008B725F">
        <w:rPr>
          <w:szCs w:val="24"/>
        </w:rPr>
        <w:t>Так, в 2014 году на территории Белоярского район</w:t>
      </w:r>
      <w:proofErr w:type="gramStart"/>
      <w:r w:rsidR="005D63A4" w:rsidRPr="008B725F">
        <w:rPr>
          <w:szCs w:val="24"/>
        </w:rPr>
        <w:t>а ООО</w:t>
      </w:r>
      <w:proofErr w:type="gramEnd"/>
      <w:r w:rsidR="005D63A4" w:rsidRPr="008B725F">
        <w:rPr>
          <w:szCs w:val="24"/>
        </w:rPr>
        <w:t xml:space="preserve"> «Зуммер» начато строительство волоконно-оптических линий связи с ожидаемым сроком окончания </w:t>
      </w:r>
      <w:r w:rsidR="00E465C2" w:rsidRPr="008B725F">
        <w:rPr>
          <w:szCs w:val="24"/>
        </w:rPr>
        <w:t xml:space="preserve">работ </w:t>
      </w:r>
      <w:r w:rsidR="005D63A4" w:rsidRPr="008B725F">
        <w:rPr>
          <w:szCs w:val="24"/>
        </w:rPr>
        <w:t xml:space="preserve">в начале 2015 года. Прокладка </w:t>
      </w:r>
      <w:r w:rsidR="002B449B" w:rsidRPr="008B725F">
        <w:rPr>
          <w:szCs w:val="24"/>
        </w:rPr>
        <w:t xml:space="preserve">волоконно-оптического кабеля осуществляется по опорам линий электропередач электрохимической защиты 10 </w:t>
      </w:r>
      <w:proofErr w:type="spellStart"/>
      <w:r w:rsidR="002B449B" w:rsidRPr="008B725F">
        <w:rPr>
          <w:szCs w:val="24"/>
        </w:rPr>
        <w:t>кВЛонг-Юганского</w:t>
      </w:r>
      <w:proofErr w:type="spellEnd"/>
      <w:r w:rsidR="002B449B" w:rsidRPr="008B725F">
        <w:rPr>
          <w:szCs w:val="24"/>
        </w:rPr>
        <w:t xml:space="preserve">, </w:t>
      </w:r>
      <w:proofErr w:type="spellStart"/>
      <w:r w:rsidR="002B449B" w:rsidRPr="008B725F">
        <w:rPr>
          <w:szCs w:val="24"/>
        </w:rPr>
        <w:t>Сорумского</w:t>
      </w:r>
      <w:proofErr w:type="spellEnd"/>
      <w:r w:rsidR="002B449B" w:rsidRPr="008B725F">
        <w:rPr>
          <w:szCs w:val="24"/>
        </w:rPr>
        <w:t xml:space="preserve"> и </w:t>
      </w:r>
      <w:proofErr w:type="spellStart"/>
      <w:r w:rsidR="002B449B" w:rsidRPr="008B725F">
        <w:rPr>
          <w:szCs w:val="24"/>
        </w:rPr>
        <w:t>Перегребнинского</w:t>
      </w:r>
      <w:proofErr w:type="spellEnd"/>
      <w:r w:rsidR="002B449B" w:rsidRPr="008B725F">
        <w:rPr>
          <w:szCs w:val="24"/>
        </w:rPr>
        <w:t xml:space="preserve"> линейно-производственных управлений магистральных газопроводов ООО «Газпром трансгаз Югорск». Планируемый объем инвестиций составит 373,8 млн. рублей. Прокладка волоконно-оптического кабеля позволит перейти на качественно новый уровень</w:t>
      </w:r>
      <w:r w:rsidR="00AF6C9A" w:rsidRPr="008B725F">
        <w:rPr>
          <w:szCs w:val="24"/>
        </w:rPr>
        <w:t xml:space="preserve"> предоставления коммуникационных услуг в Белоярском районе, что снизит стоимость, значительно повысит качество и расширит перечень услуг для конечного потребителя.</w:t>
      </w:r>
    </w:p>
    <w:p w:rsidR="006F0522" w:rsidRPr="00AF6C9A" w:rsidRDefault="006F0522" w:rsidP="002161C5">
      <w:pPr>
        <w:ind w:firstLine="720"/>
        <w:jc w:val="both"/>
        <w:rPr>
          <w:szCs w:val="24"/>
        </w:rPr>
      </w:pPr>
      <w:r w:rsidRPr="00AF6C9A">
        <w:rPr>
          <w:szCs w:val="24"/>
        </w:rPr>
        <w:t xml:space="preserve">Предоставление </w:t>
      </w:r>
      <w:r w:rsidRPr="00AF6C9A">
        <w:rPr>
          <w:b/>
          <w:szCs w:val="24"/>
        </w:rPr>
        <w:t>жилищных и коммунальных услуг</w:t>
      </w:r>
      <w:r w:rsidR="00AF6C9A" w:rsidRPr="00AF6C9A">
        <w:rPr>
          <w:szCs w:val="24"/>
        </w:rPr>
        <w:t xml:space="preserve"> осуществляют как крупные</w:t>
      </w:r>
      <w:r w:rsidRPr="00AF6C9A">
        <w:rPr>
          <w:szCs w:val="24"/>
        </w:rPr>
        <w:t xml:space="preserve"> предприятия, </w:t>
      </w:r>
      <w:r w:rsidR="00F16633">
        <w:rPr>
          <w:szCs w:val="24"/>
        </w:rPr>
        <w:t xml:space="preserve">а также </w:t>
      </w:r>
      <w:r w:rsidRPr="00AF6C9A">
        <w:rPr>
          <w:szCs w:val="24"/>
        </w:rPr>
        <w:t xml:space="preserve"> управляющие компании, относящиеся к числу малых предприятий. Рост объема коммунальных услуг населению в 201</w:t>
      </w:r>
      <w:r w:rsidR="00AF6C9A" w:rsidRPr="00AF6C9A">
        <w:rPr>
          <w:szCs w:val="24"/>
        </w:rPr>
        <w:t>5</w:t>
      </w:r>
      <w:r w:rsidRPr="00AF6C9A">
        <w:rPr>
          <w:szCs w:val="24"/>
        </w:rPr>
        <w:t xml:space="preserve"> – 201</w:t>
      </w:r>
      <w:r w:rsidR="00AF6C9A" w:rsidRPr="00AF6C9A">
        <w:rPr>
          <w:szCs w:val="24"/>
        </w:rPr>
        <w:t>7</w:t>
      </w:r>
      <w:r w:rsidRPr="00AF6C9A">
        <w:rPr>
          <w:szCs w:val="24"/>
        </w:rPr>
        <w:t xml:space="preserve"> годы составит 1,2 – 2,5% в сопоставимых ценах.  </w:t>
      </w:r>
    </w:p>
    <w:p w:rsidR="006F0522" w:rsidRPr="00AF6C9A" w:rsidRDefault="006F0522" w:rsidP="002161C5">
      <w:pPr>
        <w:ind w:firstLine="720"/>
        <w:jc w:val="both"/>
        <w:rPr>
          <w:szCs w:val="24"/>
        </w:rPr>
      </w:pPr>
      <w:r w:rsidRPr="00AF6C9A">
        <w:rPr>
          <w:szCs w:val="24"/>
        </w:rPr>
        <w:t xml:space="preserve">В сфере </w:t>
      </w:r>
      <w:r w:rsidRPr="00AF6C9A">
        <w:rPr>
          <w:b/>
          <w:szCs w:val="24"/>
        </w:rPr>
        <w:t>социальных услуг</w:t>
      </w:r>
      <w:r w:rsidRPr="00AF6C9A">
        <w:rPr>
          <w:szCs w:val="24"/>
        </w:rPr>
        <w:t xml:space="preserve"> населению в 2014 году по-прежнему основной объем будет приходиться на услуги в системе образования, медицинские услуги, а также  услуги учреждений культуры и санаторно-оздоровительные услуги.</w:t>
      </w:r>
    </w:p>
    <w:p w:rsidR="006F0522" w:rsidRPr="00AF6C9A" w:rsidRDefault="006F0522" w:rsidP="002161C5">
      <w:pPr>
        <w:ind w:firstLine="720"/>
        <w:jc w:val="both"/>
        <w:rPr>
          <w:szCs w:val="24"/>
        </w:rPr>
      </w:pPr>
      <w:proofErr w:type="gramStart"/>
      <w:r w:rsidRPr="00AF6C9A">
        <w:rPr>
          <w:szCs w:val="24"/>
        </w:rPr>
        <w:lastRenderedPageBreak/>
        <w:t>В прогнозе на 2015 - 2017 годы объем реализации платных услуг населению по первому варианту составит: 2015 год – 1 602,1 млн. рублей, 2016 год – 1 731,6 млн. рублей, 2017 год – 1 889,1 млн. рублей; по второму, соответственно, составит: 1 604,1 млн. рублей, 1 742,4 млн. рублей и 1 908,9 млн. рублей.</w:t>
      </w:r>
      <w:proofErr w:type="gramEnd"/>
      <w:r w:rsidRPr="00AF6C9A">
        <w:rPr>
          <w:szCs w:val="24"/>
        </w:rPr>
        <w:t xml:space="preserve"> Рост в сопоставимых ценах в среднем должен составить как по первому, так и по второму варианту 5% - 6%. </w:t>
      </w:r>
    </w:p>
    <w:p w:rsidR="006F0522" w:rsidRPr="00AF6C9A" w:rsidRDefault="00AF6C9A" w:rsidP="002161C5">
      <w:pPr>
        <w:ind w:firstLine="720"/>
        <w:jc w:val="both"/>
        <w:rPr>
          <w:b/>
          <w:szCs w:val="24"/>
        </w:rPr>
      </w:pPr>
      <w:r w:rsidRPr="00AF6C9A">
        <w:rPr>
          <w:szCs w:val="24"/>
        </w:rPr>
        <w:t>Наибольшая доля</w:t>
      </w:r>
      <w:r w:rsidR="006F0522" w:rsidRPr="00AF6C9A">
        <w:rPr>
          <w:szCs w:val="24"/>
        </w:rPr>
        <w:t xml:space="preserve">  объема  потребительского рынка </w:t>
      </w:r>
      <w:r w:rsidRPr="00AF6C9A">
        <w:rPr>
          <w:szCs w:val="24"/>
        </w:rPr>
        <w:t>приходится на предприятия</w:t>
      </w:r>
      <w:r w:rsidR="006F0522" w:rsidRPr="00AF6C9A">
        <w:rPr>
          <w:szCs w:val="24"/>
        </w:rPr>
        <w:t xml:space="preserve"> малого бизнеса. Основными направлениями деятельности малого бизнеса являются строительство, розничная торговля, общественное питание, бытовое обслуживание, транспортные услуги.</w:t>
      </w:r>
    </w:p>
    <w:p w:rsidR="006F0522" w:rsidRPr="00F1088B" w:rsidRDefault="006F0522" w:rsidP="002161C5">
      <w:pPr>
        <w:ind w:firstLine="720"/>
        <w:jc w:val="both"/>
        <w:rPr>
          <w:b/>
          <w:i/>
          <w:color w:val="FF0000"/>
          <w:szCs w:val="24"/>
        </w:rPr>
      </w:pPr>
    </w:p>
    <w:p w:rsidR="00925388" w:rsidRPr="00B04D78" w:rsidRDefault="006F0522" w:rsidP="00003EDF">
      <w:pPr>
        <w:ind w:firstLine="720"/>
        <w:jc w:val="both"/>
        <w:rPr>
          <w:b/>
          <w:szCs w:val="24"/>
        </w:rPr>
      </w:pPr>
      <w:r w:rsidRPr="00B04D78">
        <w:rPr>
          <w:b/>
          <w:i/>
          <w:szCs w:val="24"/>
        </w:rPr>
        <w:t>Малое  предпринимательство</w:t>
      </w:r>
    </w:p>
    <w:p w:rsidR="006F0522" w:rsidRPr="00B04D78" w:rsidRDefault="006F0522" w:rsidP="002161C5">
      <w:pPr>
        <w:ind w:firstLine="720"/>
        <w:jc w:val="both"/>
        <w:rPr>
          <w:szCs w:val="24"/>
        </w:rPr>
      </w:pPr>
      <w:r w:rsidRPr="00B04D78">
        <w:rPr>
          <w:szCs w:val="24"/>
        </w:rPr>
        <w:t>Малое предпринимательство является неотъемлемой частью современной рыночной системы хозяйствования. Оно присутствует практически во всех отраслях экономики Белоярского района и обеспечивает частичное решение проблемы занятости населения, насыщает потребительский рынок разнообразными товарами и услугами.</w:t>
      </w:r>
    </w:p>
    <w:p w:rsidR="006F0522" w:rsidRPr="00B04D78" w:rsidRDefault="00B04D78" w:rsidP="002161C5">
      <w:pPr>
        <w:ind w:firstLine="720"/>
        <w:jc w:val="both"/>
        <w:rPr>
          <w:szCs w:val="24"/>
        </w:rPr>
      </w:pPr>
      <w:r w:rsidRPr="00B04D78">
        <w:rPr>
          <w:szCs w:val="24"/>
        </w:rPr>
        <w:t>Н</w:t>
      </w:r>
      <w:r w:rsidR="006F0522" w:rsidRPr="00B04D78">
        <w:rPr>
          <w:szCs w:val="24"/>
        </w:rPr>
        <w:t xml:space="preserve">а территории Белоярского района </w:t>
      </w:r>
      <w:r w:rsidRPr="00B04D78">
        <w:rPr>
          <w:szCs w:val="24"/>
        </w:rPr>
        <w:t xml:space="preserve">на начало 2014 года </w:t>
      </w:r>
      <w:r w:rsidR="006F0522" w:rsidRPr="00B04D78">
        <w:rPr>
          <w:szCs w:val="24"/>
        </w:rPr>
        <w:t xml:space="preserve">осуществляют свою деятельность 1103 субъекта малого и среднего предпринимательства с численностью занятых 4 120 человек.  </w:t>
      </w:r>
    </w:p>
    <w:p w:rsidR="006F0522" w:rsidRPr="00B04D78" w:rsidRDefault="006F0522" w:rsidP="002161C5">
      <w:pPr>
        <w:ind w:firstLine="720"/>
        <w:jc w:val="both"/>
        <w:rPr>
          <w:szCs w:val="24"/>
        </w:rPr>
      </w:pPr>
      <w:r w:rsidRPr="00B04D78">
        <w:rPr>
          <w:szCs w:val="24"/>
        </w:rPr>
        <w:t>По предварительной оценке оборот малых предприятий в 2014 году составит          5 200 млн. руб. Прогнозируемый 2015 год предполагает увеличение показателя до 5 300 млн. рублей или 97,0% в сопоставимых ценах по отношению к оценочному 2014 году.</w:t>
      </w:r>
    </w:p>
    <w:p w:rsidR="006F0522" w:rsidRPr="00B04D78" w:rsidRDefault="006F0522" w:rsidP="002161C5">
      <w:pPr>
        <w:ind w:firstLine="720"/>
        <w:jc w:val="both"/>
        <w:rPr>
          <w:szCs w:val="24"/>
        </w:rPr>
      </w:pPr>
      <w:r w:rsidRPr="00B04D78">
        <w:rPr>
          <w:szCs w:val="24"/>
        </w:rPr>
        <w:t>В отчетном 2013 году численность  занятых  в малом  бизнесе составила                  4120 человек (по сравнению с 2012 годом уменьшилась на 80 человек). В связи с изменением федерального законодательства в части повышения уплаты страховых взносов на обязательное пенсионное страхование в 2013 году снизилось количество индивидуальных предпринимателей. Также закрылись индивидуальные предприниматели, не осуществляющие свою  деятельность.</w:t>
      </w:r>
    </w:p>
    <w:p w:rsidR="006F0522" w:rsidRPr="00B04D78" w:rsidRDefault="006F0522" w:rsidP="002161C5">
      <w:pPr>
        <w:rPr>
          <w:szCs w:val="24"/>
        </w:rPr>
      </w:pPr>
    </w:p>
    <w:p w:rsidR="006F0522" w:rsidRPr="00B04D78" w:rsidRDefault="006F0522" w:rsidP="002161C5">
      <w:pPr>
        <w:ind w:firstLine="720"/>
        <w:jc w:val="right"/>
        <w:rPr>
          <w:szCs w:val="24"/>
        </w:rPr>
      </w:pPr>
      <w:r w:rsidRPr="00B04D78">
        <w:rPr>
          <w:szCs w:val="24"/>
        </w:rPr>
        <w:t>Диаграмма 1</w:t>
      </w:r>
      <w:r w:rsidR="00BE7DDC" w:rsidRPr="00B04D78">
        <w:rPr>
          <w:szCs w:val="24"/>
        </w:rPr>
        <w:t>2</w:t>
      </w:r>
    </w:p>
    <w:p w:rsidR="006F0522" w:rsidRPr="00F1088B" w:rsidRDefault="006F0522" w:rsidP="002161C5">
      <w:pPr>
        <w:rPr>
          <w:color w:val="FF0000"/>
          <w:szCs w:val="24"/>
        </w:rPr>
      </w:pPr>
      <w:r w:rsidRPr="00F1088B">
        <w:rPr>
          <w:noProof/>
          <w:color w:val="FF0000"/>
          <w:szCs w:val="24"/>
        </w:rPr>
        <w:drawing>
          <wp:inline distT="0" distB="0" distL="0" distR="0">
            <wp:extent cx="5746115" cy="2956560"/>
            <wp:effectExtent l="19050" t="0" r="26035" b="0"/>
            <wp:docPr id="20"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F0522" w:rsidRPr="00B04D78" w:rsidRDefault="006F0522" w:rsidP="002161C5">
      <w:pPr>
        <w:tabs>
          <w:tab w:val="left" w:pos="3060"/>
        </w:tabs>
        <w:ind w:firstLine="720"/>
        <w:jc w:val="both"/>
        <w:rPr>
          <w:szCs w:val="24"/>
        </w:rPr>
      </w:pPr>
      <w:r w:rsidRPr="00B04D78">
        <w:rPr>
          <w:szCs w:val="24"/>
        </w:rPr>
        <w:t>В оценке 2014 года численность занятых в малом бизнесе за счет реализуемых мероприятий по поддержке малого предпринимательства составит 4 2</w:t>
      </w:r>
      <w:r w:rsidR="00B04D78" w:rsidRPr="00B04D78">
        <w:rPr>
          <w:szCs w:val="24"/>
        </w:rPr>
        <w:t>00</w:t>
      </w:r>
      <w:r w:rsidRPr="00B04D78">
        <w:rPr>
          <w:szCs w:val="24"/>
        </w:rPr>
        <w:t xml:space="preserve"> чел. В                          2015-2017 годах численность занятых в сфере малого предпринимательства составит: 2015 год – 4 260 чел., 2016 год – 4 290, 2017 год – 4 310 чел.</w:t>
      </w:r>
    </w:p>
    <w:p w:rsidR="006F0522" w:rsidRPr="00B04D78" w:rsidRDefault="006F0522" w:rsidP="002161C5">
      <w:pPr>
        <w:ind w:firstLine="720"/>
        <w:jc w:val="both"/>
        <w:rPr>
          <w:szCs w:val="24"/>
        </w:rPr>
      </w:pPr>
      <w:r w:rsidRPr="00B04D78">
        <w:rPr>
          <w:szCs w:val="24"/>
        </w:rPr>
        <w:t xml:space="preserve">Наибольшую долю в общем числе малых предприятий в 2013 году составляют предприятия оптовой и розничной торговли (34,1%). Второе место занимают предприятия </w:t>
      </w:r>
      <w:r w:rsidRPr="00B04D78">
        <w:rPr>
          <w:szCs w:val="24"/>
        </w:rPr>
        <w:lastRenderedPageBreak/>
        <w:t xml:space="preserve">транспорта и связи (19,4%). На долю предприятий, занимающихся операциями с недвижимым имуществом, арендой и предоставлением услуг приходится 7,4% от всего числа малых предприятий. В оценке 2014 года структура </w:t>
      </w:r>
      <w:proofErr w:type="gramStart"/>
      <w:r w:rsidRPr="00B04D78">
        <w:rPr>
          <w:szCs w:val="24"/>
        </w:rPr>
        <w:t>занятых</w:t>
      </w:r>
      <w:proofErr w:type="gramEnd"/>
      <w:r w:rsidRPr="00B04D78">
        <w:rPr>
          <w:szCs w:val="24"/>
        </w:rPr>
        <w:t xml:space="preserve"> в малом бизнесе не изменится. </w:t>
      </w:r>
    </w:p>
    <w:p w:rsidR="006F0522" w:rsidRPr="00B04D78" w:rsidRDefault="006F0522" w:rsidP="002161C5">
      <w:pPr>
        <w:rPr>
          <w:szCs w:val="24"/>
        </w:rPr>
      </w:pPr>
    </w:p>
    <w:p w:rsidR="006F0522" w:rsidRPr="00F1088B" w:rsidRDefault="006F0522" w:rsidP="002161C5">
      <w:pPr>
        <w:jc w:val="right"/>
        <w:rPr>
          <w:color w:val="FF0000"/>
          <w:szCs w:val="24"/>
        </w:rPr>
      </w:pPr>
      <w:r w:rsidRPr="00B04D78">
        <w:rPr>
          <w:szCs w:val="24"/>
        </w:rPr>
        <w:t xml:space="preserve">  Диаграмма 1</w:t>
      </w:r>
      <w:r w:rsidR="00BE7DDC" w:rsidRPr="00B04D78">
        <w:rPr>
          <w:szCs w:val="24"/>
        </w:rPr>
        <w:t>3</w:t>
      </w:r>
    </w:p>
    <w:p w:rsidR="006F0522" w:rsidRPr="00F1088B" w:rsidRDefault="006F0522" w:rsidP="002161C5">
      <w:pPr>
        <w:jc w:val="center"/>
        <w:rPr>
          <w:color w:val="FF0000"/>
          <w:szCs w:val="24"/>
        </w:rPr>
      </w:pPr>
      <w:r w:rsidRPr="00F1088B">
        <w:rPr>
          <w:noProof/>
          <w:color w:val="FF0000"/>
          <w:szCs w:val="24"/>
        </w:rPr>
        <w:drawing>
          <wp:inline distT="0" distB="0" distL="0" distR="0">
            <wp:extent cx="5812155" cy="2962275"/>
            <wp:effectExtent l="19050" t="0" r="17145" b="0"/>
            <wp:docPr id="6"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F0522" w:rsidRPr="00B04D78" w:rsidRDefault="006F0522" w:rsidP="002161C5">
      <w:pPr>
        <w:ind w:firstLine="709"/>
        <w:jc w:val="both"/>
        <w:rPr>
          <w:szCs w:val="24"/>
        </w:rPr>
      </w:pPr>
      <w:r w:rsidRPr="00B04D78">
        <w:rPr>
          <w:szCs w:val="24"/>
        </w:rPr>
        <w:t xml:space="preserve">Одной из приоритетных  задач  органов местного самоуправления Белоярского района является создание условий  для развития малого и среднего бизнеса на территории района. </w:t>
      </w:r>
    </w:p>
    <w:p w:rsidR="006F0522" w:rsidRPr="00B04D78" w:rsidRDefault="006F0522" w:rsidP="002161C5">
      <w:pPr>
        <w:ind w:firstLine="720"/>
        <w:jc w:val="both"/>
        <w:rPr>
          <w:szCs w:val="24"/>
        </w:rPr>
      </w:pPr>
      <w:r w:rsidRPr="00B04D78">
        <w:rPr>
          <w:szCs w:val="24"/>
        </w:rPr>
        <w:t xml:space="preserve">С начала 2014 года на территории Белоярского района реализуется муниципальная программа Белоярского района «Развитие малого и среднего предпринимательства и туризма в Белоярском районе» на 2014 – 2020 годы. В рамках данной программы осуществляется предоставление субсидий на проведения мероприятий, направленных на  развитие семейного бизнеса, на развитие туризма, на развитие молодежного предпринимательства, возмещение части затрат по арендным платежам за нежилые помещения, возмещение части затрат по приобретению оборудования (основных средств) и лицензионных программных продуктов и др. </w:t>
      </w:r>
    </w:p>
    <w:p w:rsidR="006F0522" w:rsidRPr="00B04D78" w:rsidRDefault="00F16633" w:rsidP="002161C5">
      <w:pPr>
        <w:ind w:firstLine="720"/>
        <w:jc w:val="both"/>
        <w:rPr>
          <w:szCs w:val="24"/>
        </w:rPr>
      </w:pPr>
      <w:r>
        <w:rPr>
          <w:szCs w:val="24"/>
        </w:rPr>
        <w:t xml:space="preserve">Для </w:t>
      </w:r>
      <w:r w:rsidR="006F0522" w:rsidRPr="00B04D78">
        <w:rPr>
          <w:szCs w:val="24"/>
        </w:rPr>
        <w:t>развития</w:t>
      </w:r>
      <w:r>
        <w:rPr>
          <w:szCs w:val="24"/>
        </w:rPr>
        <w:t xml:space="preserve"> и поддержки малого</w:t>
      </w:r>
      <w:r w:rsidR="006F0522" w:rsidRPr="00B04D78">
        <w:rPr>
          <w:szCs w:val="24"/>
        </w:rPr>
        <w:t xml:space="preserve"> бизнеса планируемый объем </w:t>
      </w:r>
      <w:r>
        <w:rPr>
          <w:szCs w:val="24"/>
        </w:rPr>
        <w:t>планируется направить</w:t>
      </w:r>
      <w:r w:rsidR="006F0522" w:rsidRPr="00B04D78">
        <w:rPr>
          <w:szCs w:val="24"/>
        </w:rPr>
        <w:t xml:space="preserve"> 8028,1 тыс</w:t>
      </w:r>
      <w:proofErr w:type="gramStart"/>
      <w:r w:rsidR="006F0522" w:rsidRPr="00B04D78">
        <w:rPr>
          <w:szCs w:val="24"/>
        </w:rPr>
        <w:t>.р</w:t>
      </w:r>
      <w:proofErr w:type="gramEnd"/>
      <w:r w:rsidR="006F0522" w:rsidRPr="00B04D78">
        <w:rPr>
          <w:szCs w:val="24"/>
        </w:rPr>
        <w:t>уб., в том числе 5001,0 тыс.руб. за счет средств бюджета Белоярского района и 3027,1 тыс. руб. за счет средств бюджета Белоярского района, сформированного из средств бюджета ХМАО-Югры в форме субсиди</w:t>
      </w:r>
      <w:r>
        <w:rPr>
          <w:szCs w:val="24"/>
        </w:rPr>
        <w:t>й</w:t>
      </w:r>
      <w:r w:rsidR="006F0522" w:rsidRPr="00B04D78">
        <w:rPr>
          <w:szCs w:val="24"/>
        </w:rPr>
        <w:t xml:space="preserve">. </w:t>
      </w:r>
    </w:p>
    <w:p w:rsidR="002D12D5" w:rsidRPr="002D12D5" w:rsidRDefault="006F0522" w:rsidP="002161C5">
      <w:pPr>
        <w:ind w:firstLine="720"/>
        <w:jc w:val="both"/>
        <w:rPr>
          <w:szCs w:val="24"/>
        </w:rPr>
      </w:pPr>
      <w:r w:rsidRPr="002D12D5">
        <w:rPr>
          <w:szCs w:val="24"/>
        </w:rPr>
        <w:t xml:space="preserve">За текущий период 2014 года </w:t>
      </w:r>
      <w:r w:rsidR="002D12D5" w:rsidRPr="002D12D5">
        <w:rPr>
          <w:szCs w:val="24"/>
        </w:rPr>
        <w:t xml:space="preserve">были проведены 1 заседание координационного совета по развитию малого и среднего предпринимательства, 1 выездное мероприятие с проведением круглого стола. </w:t>
      </w:r>
    </w:p>
    <w:p w:rsidR="002D12D5" w:rsidRPr="00C77429" w:rsidRDefault="002D12D5" w:rsidP="00F16633">
      <w:pPr>
        <w:pStyle w:val="a3"/>
        <w:spacing w:after="0"/>
        <w:ind w:firstLine="720"/>
        <w:jc w:val="both"/>
      </w:pPr>
      <w:r w:rsidRPr="00150466">
        <w:t xml:space="preserve">Белоярский филиал ФПП Югры работает по всем направлениям поддержки субъектов малого и среднего предпринимательства: программа Гарантия, Компенсация процентной ставки, Компенсация части затрат по уплате лизинговых платежей,  Компенсация затрат на обучение, поддержка в форме предоставления грантов для молодых предпринимателей.  Фонд микрофинансирования ХМАО-Югры оказывает поддержки в форме Микрофинансирование. ООО «Окружной Бизнес –Инкубатор» - оказывает имущественную поддержку, в виде предоставления начинающим предпринимателям нежилых  помещений на условиях льготной арендной платы, а также предоставления консультаций по вопросам ведения бизнеса, организация круглых столов и иных мероприятий. </w:t>
      </w:r>
    </w:p>
    <w:p w:rsidR="002D12D5" w:rsidRDefault="002D12D5" w:rsidP="00F16633">
      <w:pPr>
        <w:pStyle w:val="a3"/>
        <w:spacing w:after="0"/>
        <w:ind w:firstLine="720"/>
        <w:jc w:val="both"/>
      </w:pPr>
      <w:r w:rsidRPr="00150466">
        <w:lastRenderedPageBreak/>
        <w:t xml:space="preserve">С начала 2014 года Белоярский филиал </w:t>
      </w:r>
      <w:r w:rsidRPr="00150466">
        <w:rPr>
          <w:szCs w:val="24"/>
        </w:rPr>
        <w:t xml:space="preserve">Фонда поддержки предпринимательства </w:t>
      </w:r>
      <w:r w:rsidRPr="00150466">
        <w:t xml:space="preserve">Югры предоставил поддержку поручительства путем обеспечения исполнения обязательств </w:t>
      </w:r>
      <w:r w:rsidRPr="00150466">
        <w:rPr>
          <w:szCs w:val="24"/>
        </w:rPr>
        <w:t>субъектам малого и среднего предпринимательства</w:t>
      </w:r>
      <w:r w:rsidRPr="00150466">
        <w:t xml:space="preserve"> перед кредитными учреждениями 4 субъектам. Сумм</w:t>
      </w:r>
      <w:r>
        <w:t xml:space="preserve">а поручительства </w:t>
      </w:r>
      <w:r w:rsidRPr="00150466">
        <w:t xml:space="preserve">составила 5,21 млн. рублей. Привлечено кредитных ресурсов на сумму 15,4 млн. рублей. </w:t>
      </w:r>
    </w:p>
    <w:p w:rsidR="002D12D5" w:rsidRDefault="002D12D5" w:rsidP="002161C5">
      <w:pPr>
        <w:pStyle w:val="a3"/>
        <w:spacing w:after="0"/>
        <w:ind w:firstLine="720"/>
        <w:jc w:val="both"/>
      </w:pPr>
      <w:r w:rsidRPr="00150466">
        <w:t>Поддержка в форме компенсации  части затрат по уплате процентов за пользование кредитами  предоставляется</w:t>
      </w:r>
      <w:r>
        <w:t xml:space="preserve"> 39 субъектам малого и среднего предпринимательства, из них </w:t>
      </w:r>
      <w:r w:rsidRPr="00150466">
        <w:t>12 договоров</w:t>
      </w:r>
      <w:r>
        <w:t xml:space="preserve"> заключено за январь-июль 2014 года</w:t>
      </w:r>
      <w:r w:rsidRPr="00150466">
        <w:t>, привлечено сре</w:t>
      </w:r>
      <w:proofErr w:type="gramStart"/>
      <w:r w:rsidRPr="00150466">
        <w:t xml:space="preserve">дств </w:t>
      </w:r>
      <w:r>
        <w:t>в р</w:t>
      </w:r>
      <w:proofErr w:type="gramEnd"/>
      <w:r>
        <w:t>азмере                20,78 млн.</w:t>
      </w:r>
      <w:r w:rsidRPr="00150466">
        <w:t xml:space="preserve"> руб.</w:t>
      </w:r>
    </w:p>
    <w:p w:rsidR="002D12D5" w:rsidRPr="00A01A37" w:rsidRDefault="002D12D5" w:rsidP="002161C5">
      <w:pPr>
        <w:pStyle w:val="a3"/>
        <w:spacing w:after="0"/>
        <w:ind w:firstLine="720"/>
        <w:jc w:val="both"/>
        <w:rPr>
          <w:szCs w:val="24"/>
        </w:rPr>
      </w:pPr>
      <w:r>
        <w:rPr>
          <w:szCs w:val="24"/>
        </w:rPr>
        <w:t>В 2014 году</w:t>
      </w:r>
      <w:r w:rsidRPr="00A01A37">
        <w:rPr>
          <w:szCs w:val="24"/>
        </w:rPr>
        <w:t xml:space="preserve"> Белоярский филиал Фонда поддержки предпринимательства Югры заключил 3 соглашения на сумму 39,4 тыс. рублей по оказанию поддержки в форме компенсации части затрат по оплате обучения сотрудников субъектов малого и среднего предпринимательства</w:t>
      </w:r>
      <w:r>
        <w:rPr>
          <w:szCs w:val="24"/>
        </w:rPr>
        <w:t xml:space="preserve">. </w:t>
      </w:r>
      <w:r>
        <w:t xml:space="preserve">Поддержка в форме </w:t>
      </w:r>
      <w:r w:rsidRPr="00A01A37">
        <w:t>части затрат на уплату лизинговых платежей предоставлен</w:t>
      </w:r>
      <w:r>
        <w:t>а</w:t>
      </w:r>
      <w:r w:rsidRPr="00A01A37">
        <w:t xml:space="preserve"> 2 </w:t>
      </w:r>
      <w:r w:rsidRPr="00A01A37">
        <w:rPr>
          <w:szCs w:val="24"/>
        </w:rPr>
        <w:t xml:space="preserve">субъектам. </w:t>
      </w:r>
    </w:p>
    <w:p w:rsidR="002D12D5" w:rsidRPr="00C77429" w:rsidRDefault="002D12D5" w:rsidP="002161C5">
      <w:pPr>
        <w:pStyle w:val="a3"/>
        <w:spacing w:after="0"/>
        <w:ind w:firstLine="720"/>
        <w:jc w:val="both"/>
      </w:pPr>
      <w:r>
        <w:t>В</w:t>
      </w:r>
      <w:r w:rsidRPr="00C77429">
        <w:t xml:space="preserve"> рамках мероприятия программы «Поддержка путем </w:t>
      </w:r>
      <w:proofErr w:type="spellStart"/>
      <w:r w:rsidRPr="00C77429">
        <w:t>микрофинансирования</w:t>
      </w:r>
      <w:proofErr w:type="spellEnd"/>
      <w:r w:rsidRPr="00C77429">
        <w:t xml:space="preserve">» </w:t>
      </w:r>
      <w:r w:rsidRPr="00C77429">
        <w:rPr>
          <w:szCs w:val="24"/>
        </w:rPr>
        <w:t xml:space="preserve">Фондом </w:t>
      </w:r>
      <w:proofErr w:type="spellStart"/>
      <w:r w:rsidRPr="00C77429">
        <w:rPr>
          <w:szCs w:val="24"/>
        </w:rPr>
        <w:t>микрофинасирования</w:t>
      </w:r>
      <w:proofErr w:type="spellEnd"/>
      <w:r w:rsidRPr="00C77429">
        <w:rPr>
          <w:szCs w:val="24"/>
        </w:rPr>
        <w:t xml:space="preserve"> </w:t>
      </w:r>
      <w:proofErr w:type="spellStart"/>
      <w:r w:rsidRPr="00C77429">
        <w:rPr>
          <w:szCs w:val="24"/>
        </w:rPr>
        <w:t>ХМАО-Югры</w:t>
      </w:r>
      <w:proofErr w:type="spellEnd"/>
      <w:r w:rsidRPr="00C77429">
        <w:rPr>
          <w:szCs w:val="24"/>
        </w:rPr>
        <w:t xml:space="preserve"> </w:t>
      </w:r>
      <w:r>
        <w:t>с начала 2014 года</w:t>
      </w:r>
      <w:r w:rsidRPr="00C77429">
        <w:rPr>
          <w:szCs w:val="24"/>
        </w:rPr>
        <w:t>профинансировано 10 проектов на сумму 5,996 млн. рублей. Белоярским филиалом ООО «Окружной Бизнес-Инкубатор» 8 субъектам малого и среднего предпринимательства оказана имущественная поддержка (предоставление имущества в аренду).</w:t>
      </w:r>
    </w:p>
    <w:p w:rsidR="002D12D5" w:rsidRDefault="002D12D5" w:rsidP="002161C5">
      <w:pPr>
        <w:pStyle w:val="a3"/>
        <w:spacing w:after="0"/>
        <w:ind w:firstLine="720"/>
        <w:jc w:val="both"/>
      </w:pPr>
      <w:r w:rsidRPr="00C77429">
        <w:t xml:space="preserve">Кроме того, Белоярский филиал </w:t>
      </w:r>
      <w:r w:rsidRPr="00C77429">
        <w:rPr>
          <w:szCs w:val="24"/>
        </w:rPr>
        <w:t>Фонда поддержки предпринимательства</w:t>
      </w:r>
      <w:r w:rsidRPr="00C77429">
        <w:t xml:space="preserve"> Югры регулярно проводит консультации и семинары для субъектов малого и среднего предпринимательства, начинающих предпринимателей, студентов. </w:t>
      </w:r>
    </w:p>
    <w:p w:rsidR="00DF7521" w:rsidRDefault="00DF7521" w:rsidP="002161C5">
      <w:pPr>
        <w:pStyle w:val="a3"/>
        <w:spacing w:after="0"/>
        <w:ind w:firstLine="720"/>
        <w:jc w:val="both"/>
      </w:pPr>
    </w:p>
    <w:p w:rsidR="00DF7521" w:rsidRPr="00C77429" w:rsidRDefault="00DF7521" w:rsidP="002161C5">
      <w:pPr>
        <w:pStyle w:val="a3"/>
        <w:spacing w:after="0"/>
        <w:ind w:firstLine="720"/>
        <w:jc w:val="both"/>
      </w:pPr>
    </w:p>
    <w:p w:rsidR="00DF7521" w:rsidRPr="00202FFE" w:rsidRDefault="00DF7521" w:rsidP="002161C5">
      <w:pPr>
        <w:jc w:val="center"/>
        <w:rPr>
          <w:b/>
          <w:szCs w:val="24"/>
        </w:rPr>
      </w:pPr>
      <w:r w:rsidRPr="00202FFE">
        <w:rPr>
          <w:b/>
          <w:szCs w:val="24"/>
        </w:rPr>
        <w:t>Уровень жизни населения</w:t>
      </w:r>
    </w:p>
    <w:p w:rsidR="00DF7521" w:rsidRPr="00202FFE" w:rsidRDefault="00DF7521" w:rsidP="002161C5">
      <w:pPr>
        <w:jc w:val="both"/>
        <w:rPr>
          <w:b/>
          <w:szCs w:val="24"/>
        </w:rPr>
      </w:pPr>
    </w:p>
    <w:p w:rsidR="00DF7521" w:rsidRPr="00202FFE" w:rsidRDefault="00DF7521" w:rsidP="002161C5">
      <w:pPr>
        <w:pStyle w:val="ad"/>
        <w:spacing w:before="0" w:beforeAutospacing="0" w:after="0" w:afterAutospacing="0"/>
        <w:ind w:firstLine="708"/>
        <w:jc w:val="both"/>
      </w:pPr>
      <w:r w:rsidRPr="00202FFE">
        <w:rPr>
          <w:bCs/>
        </w:rPr>
        <w:t>Уровень жизни</w:t>
      </w:r>
      <w:r w:rsidRPr="00202FFE">
        <w:t xml:space="preserve"> отражает объем и структуру потребления, социальные и производственные условия труда, развитость сферы услуг, размеры личной собственности, и в целом характеризует экономическое положение населения проживающего на конкретной территории. Анализ тенденций в изменениях уровня жизни населения Белоярского района позволяет судить, насколько эффективна социально-экономическая политика, проводимая органами местного самоуправления, и в какой степени общество справляется с поставленными задачами. </w:t>
      </w:r>
    </w:p>
    <w:p w:rsidR="00DF7521" w:rsidRPr="00202FFE" w:rsidRDefault="00DF7521" w:rsidP="002161C5">
      <w:pPr>
        <w:pStyle w:val="ad"/>
        <w:spacing w:before="0" w:beforeAutospacing="0" w:after="0" w:afterAutospacing="0"/>
        <w:ind w:firstLine="708"/>
        <w:jc w:val="both"/>
      </w:pPr>
      <w:r w:rsidRPr="00202FFE">
        <w:t xml:space="preserve">Средняя заработная плата по крупным и средним предприятиямувеличилась  в 2013 году на 15,6 % и составила  61 663,9 руб. </w:t>
      </w:r>
    </w:p>
    <w:p w:rsidR="00DF7521" w:rsidRPr="00BF228B" w:rsidRDefault="00DF7521" w:rsidP="002161C5">
      <w:pPr>
        <w:pStyle w:val="ad"/>
        <w:spacing w:before="0" w:beforeAutospacing="0" w:after="0" w:afterAutospacing="0"/>
        <w:ind w:firstLine="708"/>
        <w:jc w:val="both"/>
      </w:pPr>
      <w:r w:rsidRPr="00BF228B">
        <w:t>Одними из самых высоко оплачиваемых видов деятельности являются добыча полезных ископаемых - 81 904 рубля, транспорт и связь – 78 402 рубля, финансовая деятельность  - 74 113 рубля, гос. управление – 68 697 рублей.</w:t>
      </w:r>
    </w:p>
    <w:p w:rsidR="00DF7521" w:rsidRPr="00BF228B" w:rsidRDefault="00DF7521" w:rsidP="002161C5">
      <w:pPr>
        <w:pStyle w:val="ad"/>
        <w:spacing w:before="0" w:beforeAutospacing="0" w:after="0" w:afterAutospacing="0"/>
        <w:ind w:firstLine="708"/>
        <w:jc w:val="both"/>
      </w:pPr>
      <w:r w:rsidRPr="00BF228B">
        <w:t xml:space="preserve">В аутсайдерах по уровню заработной платы остаются сельское хозяйство, охота и лесное хозяйство (44,8% от </w:t>
      </w:r>
      <w:proofErr w:type="spellStart"/>
      <w:r w:rsidRPr="00BF228B">
        <w:t>среднеокружной</w:t>
      </w:r>
      <w:proofErr w:type="spellEnd"/>
      <w:r w:rsidRPr="00BF228B">
        <w:t xml:space="preserve"> заработной платы).</w:t>
      </w:r>
    </w:p>
    <w:p w:rsidR="00DF7521" w:rsidRPr="009A32A6" w:rsidRDefault="00DF7521" w:rsidP="009A32A6">
      <w:pPr>
        <w:ind w:firstLine="709"/>
        <w:jc w:val="both"/>
        <w:rPr>
          <w:szCs w:val="24"/>
        </w:rPr>
      </w:pPr>
      <w:r w:rsidRPr="00BF228B">
        <w:rPr>
          <w:szCs w:val="24"/>
        </w:rPr>
        <w:t>В прогнозные 2015-2017 годы  рост  среднемесячной заработной платы составит  1</w:t>
      </w:r>
      <w:r>
        <w:rPr>
          <w:szCs w:val="24"/>
        </w:rPr>
        <w:t>09,5-110</w:t>
      </w:r>
      <w:r w:rsidRPr="00BF228B">
        <w:rPr>
          <w:szCs w:val="24"/>
        </w:rPr>
        <w:t xml:space="preserve"> %.</w:t>
      </w:r>
      <w:r w:rsidR="009A32A6" w:rsidRPr="009A32A6">
        <w:rPr>
          <w:sz w:val="26"/>
          <w:szCs w:val="26"/>
        </w:rPr>
        <w:t xml:space="preserve"> </w:t>
      </w:r>
      <w:r w:rsidR="009A32A6" w:rsidRPr="009A32A6">
        <w:rPr>
          <w:szCs w:val="24"/>
        </w:rPr>
        <w:t>Увеличение заработной платы прогнозируется во всех отраслях экономики Белоярского района, что обусловлено устойчивыми темпами экономического развития предприятий нефтегазового комплекса, реализацией мер по поэтапному достижению целевых ориентиров повышения заработной платы отдельным категориям работников сферы образования, здравоохранения, культуры и социального обслуживания.</w:t>
      </w:r>
      <w:r w:rsidRPr="009A32A6">
        <w:rPr>
          <w:szCs w:val="24"/>
        </w:rPr>
        <w:t xml:space="preserve"> </w:t>
      </w:r>
    </w:p>
    <w:p w:rsidR="00DF7521" w:rsidRPr="00BF228B" w:rsidRDefault="00DF7521" w:rsidP="002161C5">
      <w:pPr>
        <w:autoSpaceDE w:val="0"/>
        <w:autoSpaceDN w:val="0"/>
        <w:adjustRightInd w:val="0"/>
        <w:ind w:firstLine="709"/>
        <w:jc w:val="both"/>
        <w:rPr>
          <w:szCs w:val="24"/>
        </w:rPr>
      </w:pPr>
      <w:r w:rsidRPr="00BF228B">
        <w:rPr>
          <w:szCs w:val="24"/>
        </w:rPr>
        <w:t>В результате выполнения задач, обозначенных в Указе Президента РФ от 07 мая 2012 года № 597 «</w:t>
      </w:r>
      <w:r w:rsidRPr="00BF228B">
        <w:rPr>
          <w:rFonts w:eastAsia="Calibri"/>
          <w:szCs w:val="24"/>
        </w:rPr>
        <w:t>О мероприятиях по реализации государственной социальной политики»:</w:t>
      </w:r>
    </w:p>
    <w:p w:rsidR="00DF7521" w:rsidRPr="00BF228B" w:rsidRDefault="00DF7521" w:rsidP="002161C5">
      <w:pPr>
        <w:pStyle w:val="a8"/>
        <w:numPr>
          <w:ilvl w:val="0"/>
          <w:numId w:val="8"/>
        </w:numPr>
        <w:tabs>
          <w:tab w:val="left" w:pos="720"/>
        </w:tabs>
        <w:spacing w:after="0"/>
        <w:jc w:val="both"/>
        <w:rPr>
          <w:szCs w:val="24"/>
        </w:rPr>
      </w:pPr>
      <w:r w:rsidRPr="00BF228B">
        <w:rPr>
          <w:b/>
          <w:szCs w:val="24"/>
        </w:rPr>
        <w:t>врачи</w:t>
      </w:r>
      <w:r w:rsidRPr="00BF228B">
        <w:rPr>
          <w:szCs w:val="24"/>
        </w:rPr>
        <w:t xml:space="preserve"> и работники, имеющие высшее образование – среднемесячная заработная плата составила </w:t>
      </w:r>
      <w:r w:rsidRPr="00BF228B">
        <w:rPr>
          <w:b/>
          <w:szCs w:val="24"/>
        </w:rPr>
        <w:t>80 822 руб</w:t>
      </w:r>
      <w:r w:rsidRPr="00BF228B">
        <w:rPr>
          <w:szCs w:val="24"/>
        </w:rPr>
        <w:t>., что составляет 146,4 % от средней зарплаты по округу, при целевом показателе 146%;</w:t>
      </w:r>
    </w:p>
    <w:p w:rsidR="00DF7521" w:rsidRPr="00BF228B" w:rsidRDefault="00DF7521" w:rsidP="002161C5">
      <w:pPr>
        <w:pStyle w:val="a8"/>
        <w:numPr>
          <w:ilvl w:val="0"/>
          <w:numId w:val="8"/>
        </w:numPr>
        <w:tabs>
          <w:tab w:val="left" w:pos="720"/>
        </w:tabs>
        <w:spacing w:after="0"/>
        <w:jc w:val="both"/>
        <w:rPr>
          <w:szCs w:val="24"/>
        </w:rPr>
      </w:pPr>
      <w:r w:rsidRPr="00BF228B">
        <w:rPr>
          <w:b/>
          <w:szCs w:val="24"/>
        </w:rPr>
        <w:lastRenderedPageBreak/>
        <w:t>средний медицинский</w:t>
      </w:r>
      <w:r w:rsidRPr="00BF228B">
        <w:rPr>
          <w:szCs w:val="24"/>
        </w:rPr>
        <w:t xml:space="preserve"> персонал – среднемесячная заработная плата составила </w:t>
      </w:r>
      <w:r w:rsidRPr="00BF228B">
        <w:rPr>
          <w:b/>
          <w:szCs w:val="24"/>
        </w:rPr>
        <w:t>48 210 руб.,</w:t>
      </w:r>
      <w:r w:rsidRPr="00BF228B">
        <w:rPr>
          <w:szCs w:val="24"/>
        </w:rPr>
        <w:t xml:space="preserve">  что составляет 87,3 % от средней зарплаты по округу, при целевом показателе 82 %.</w:t>
      </w:r>
    </w:p>
    <w:p w:rsidR="00DF7521" w:rsidRPr="00BF228B" w:rsidRDefault="00DF7521" w:rsidP="002161C5">
      <w:pPr>
        <w:pStyle w:val="a7"/>
        <w:numPr>
          <w:ilvl w:val="0"/>
          <w:numId w:val="8"/>
        </w:numPr>
        <w:shd w:val="clear" w:color="auto" w:fill="FFFFFF"/>
        <w:jc w:val="both"/>
        <w:rPr>
          <w:sz w:val="24"/>
          <w:szCs w:val="24"/>
        </w:rPr>
      </w:pPr>
      <w:r w:rsidRPr="00BF228B">
        <w:rPr>
          <w:sz w:val="24"/>
          <w:szCs w:val="24"/>
        </w:rPr>
        <w:t xml:space="preserve">-среднемесячная заработная  плата </w:t>
      </w:r>
      <w:r w:rsidRPr="00BF228B">
        <w:rPr>
          <w:b/>
          <w:sz w:val="24"/>
          <w:szCs w:val="24"/>
        </w:rPr>
        <w:t>учителей</w:t>
      </w:r>
      <w:r w:rsidRPr="00BF228B">
        <w:rPr>
          <w:sz w:val="24"/>
          <w:szCs w:val="24"/>
        </w:rPr>
        <w:t xml:space="preserve"> общеобразовательных учреждений составила </w:t>
      </w:r>
      <w:r w:rsidRPr="00BF228B">
        <w:rPr>
          <w:b/>
          <w:sz w:val="24"/>
          <w:szCs w:val="24"/>
        </w:rPr>
        <w:t>57 427 руб</w:t>
      </w:r>
      <w:r w:rsidRPr="00BF228B">
        <w:rPr>
          <w:sz w:val="24"/>
          <w:szCs w:val="24"/>
        </w:rPr>
        <w:t>., что составляет 104 % от средней зарплаты по округу, при   целевом показателе 100 %;</w:t>
      </w:r>
    </w:p>
    <w:p w:rsidR="00DF7521" w:rsidRPr="00BF228B" w:rsidRDefault="00DF7521" w:rsidP="002161C5">
      <w:pPr>
        <w:pStyle w:val="a7"/>
        <w:numPr>
          <w:ilvl w:val="0"/>
          <w:numId w:val="8"/>
        </w:numPr>
        <w:shd w:val="clear" w:color="auto" w:fill="FFFFFF"/>
        <w:jc w:val="both"/>
        <w:rPr>
          <w:sz w:val="24"/>
          <w:szCs w:val="24"/>
        </w:rPr>
      </w:pPr>
      <w:r w:rsidRPr="00BF228B">
        <w:rPr>
          <w:sz w:val="24"/>
          <w:szCs w:val="24"/>
        </w:rPr>
        <w:t xml:space="preserve">среднемесячная заработная плата </w:t>
      </w:r>
      <w:r w:rsidRPr="00BF228B">
        <w:rPr>
          <w:b/>
          <w:sz w:val="24"/>
          <w:szCs w:val="24"/>
        </w:rPr>
        <w:t>воспитателей</w:t>
      </w:r>
      <w:r w:rsidRPr="00BF228B">
        <w:rPr>
          <w:sz w:val="24"/>
          <w:szCs w:val="24"/>
        </w:rPr>
        <w:t xml:space="preserve"> составила </w:t>
      </w:r>
      <w:r w:rsidRPr="00BF228B">
        <w:rPr>
          <w:b/>
          <w:sz w:val="24"/>
          <w:szCs w:val="24"/>
        </w:rPr>
        <w:t>48 370 руб</w:t>
      </w:r>
      <w:r w:rsidRPr="00BF228B">
        <w:rPr>
          <w:sz w:val="24"/>
          <w:szCs w:val="24"/>
        </w:rPr>
        <w:t>., что   составляет 111 % от среднемесячной заработной платы в сфере общего образования, при  целевом   показателе 100 %.</w:t>
      </w:r>
    </w:p>
    <w:p w:rsidR="00DF7521" w:rsidRPr="00BF228B" w:rsidRDefault="00DF7521" w:rsidP="002161C5">
      <w:pPr>
        <w:pStyle w:val="a3"/>
        <w:tabs>
          <w:tab w:val="left" w:pos="540"/>
        </w:tabs>
        <w:spacing w:after="0"/>
        <w:ind w:firstLine="540"/>
        <w:jc w:val="right"/>
        <w:rPr>
          <w:szCs w:val="24"/>
        </w:rPr>
      </w:pPr>
    </w:p>
    <w:p w:rsidR="00DF7521" w:rsidRPr="00BF228B" w:rsidRDefault="00DF7521" w:rsidP="002161C5">
      <w:pPr>
        <w:pStyle w:val="a3"/>
        <w:tabs>
          <w:tab w:val="left" w:pos="540"/>
        </w:tabs>
        <w:spacing w:after="0"/>
        <w:ind w:firstLine="540"/>
        <w:jc w:val="right"/>
        <w:rPr>
          <w:szCs w:val="24"/>
        </w:rPr>
      </w:pPr>
      <w:r w:rsidRPr="00BF228B">
        <w:rPr>
          <w:szCs w:val="24"/>
        </w:rPr>
        <w:t>Диаграмма 14</w:t>
      </w:r>
    </w:p>
    <w:p w:rsidR="00DF7521" w:rsidRPr="00F1088B" w:rsidRDefault="00DF7521" w:rsidP="002161C5">
      <w:pPr>
        <w:jc w:val="center"/>
        <w:rPr>
          <w:b/>
          <w:color w:val="FF0000"/>
          <w:szCs w:val="24"/>
        </w:rPr>
      </w:pPr>
      <w:r w:rsidRPr="00F1088B">
        <w:rPr>
          <w:noProof/>
          <w:color w:val="FF0000"/>
          <w:szCs w:val="24"/>
        </w:rPr>
        <w:drawing>
          <wp:inline distT="0" distB="0" distL="0" distR="0">
            <wp:extent cx="5372100" cy="2619375"/>
            <wp:effectExtent l="0" t="0" r="0" b="0"/>
            <wp:docPr id="1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F7521" w:rsidRPr="00F1088B" w:rsidRDefault="00DF7521" w:rsidP="002161C5">
      <w:pPr>
        <w:jc w:val="center"/>
        <w:rPr>
          <w:b/>
          <w:color w:val="FF0000"/>
          <w:szCs w:val="24"/>
        </w:rPr>
      </w:pPr>
    </w:p>
    <w:p w:rsidR="00DF7521" w:rsidRPr="00E06222" w:rsidRDefault="00DF7521" w:rsidP="002161C5">
      <w:pPr>
        <w:autoSpaceDE w:val="0"/>
        <w:autoSpaceDN w:val="0"/>
        <w:adjustRightInd w:val="0"/>
        <w:ind w:firstLine="540"/>
        <w:jc w:val="both"/>
        <w:rPr>
          <w:szCs w:val="24"/>
        </w:rPr>
      </w:pPr>
      <w:r w:rsidRPr="00E06222">
        <w:rPr>
          <w:szCs w:val="24"/>
        </w:rPr>
        <w:t xml:space="preserve">С учетом проведенных мер средний размер дохода пенсионера по району на 1 января 2014 года составил 16 022 рубля, реальный размер дохода пенсионера почти в два раза превысил бюджет </w:t>
      </w:r>
      <w:hyperlink r:id="rId20" w:history="1">
        <w:r w:rsidRPr="00E06222">
          <w:rPr>
            <w:szCs w:val="24"/>
          </w:rPr>
          <w:t>прожиточного минимума</w:t>
        </w:r>
      </w:hyperlink>
      <w:r w:rsidRPr="00E06222">
        <w:rPr>
          <w:szCs w:val="24"/>
        </w:rPr>
        <w:t xml:space="preserve"> пенсионера (181,7%).</w:t>
      </w:r>
    </w:p>
    <w:p w:rsidR="00DF7521" w:rsidRPr="00E06222" w:rsidRDefault="00DF7521" w:rsidP="002161C5">
      <w:pPr>
        <w:ind w:firstLine="720"/>
        <w:jc w:val="both"/>
        <w:rPr>
          <w:szCs w:val="24"/>
        </w:rPr>
      </w:pPr>
      <w:r w:rsidRPr="00E06222">
        <w:rPr>
          <w:szCs w:val="24"/>
        </w:rPr>
        <w:t xml:space="preserve"> Доля среднего размера трудовой пенсии по старости от среднего  размера  заработной платы работающего составила 26,2  %. Индексы роста пенсии в 2015-2017 годы  по прогнозу составят 107-108,3 %.</w:t>
      </w:r>
    </w:p>
    <w:p w:rsidR="00DF7521" w:rsidRPr="00F1088B" w:rsidRDefault="00DF7521" w:rsidP="002161C5">
      <w:pPr>
        <w:pStyle w:val="a3"/>
        <w:tabs>
          <w:tab w:val="left" w:pos="540"/>
        </w:tabs>
        <w:spacing w:after="0"/>
        <w:ind w:firstLine="540"/>
        <w:jc w:val="right"/>
        <w:rPr>
          <w:b/>
          <w:color w:val="FF0000"/>
          <w:szCs w:val="24"/>
        </w:rPr>
      </w:pPr>
      <w:r w:rsidRPr="00E06222">
        <w:rPr>
          <w:szCs w:val="24"/>
        </w:rPr>
        <w:t xml:space="preserve">                                                                                             Диаграмма 15</w:t>
      </w:r>
      <w:r>
        <w:rPr>
          <w:noProof/>
        </w:rPr>
        <w:drawing>
          <wp:inline distT="0" distB="0" distL="0" distR="0">
            <wp:extent cx="6010275" cy="3228975"/>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F7521" w:rsidRDefault="00DF7521" w:rsidP="002161C5">
      <w:pPr>
        <w:ind w:firstLine="720"/>
        <w:jc w:val="both"/>
        <w:rPr>
          <w:szCs w:val="24"/>
        </w:rPr>
      </w:pPr>
      <w:proofErr w:type="gramStart"/>
      <w:r w:rsidRPr="000D6643">
        <w:rPr>
          <w:b/>
          <w:szCs w:val="24"/>
        </w:rPr>
        <w:lastRenderedPageBreak/>
        <w:t>Среднедушевые денежные доходы</w:t>
      </w:r>
      <w:r w:rsidRPr="000D6643">
        <w:rPr>
          <w:szCs w:val="24"/>
        </w:rPr>
        <w:t xml:space="preserve"> населения по Белоярскому району сложились в сумме 38 300,2 рублей и увеличились по отношению к 2012 году на 15,2 %. ожидаемые среднедушевые доходы населения в 2014 году – 4</w:t>
      </w:r>
      <w:r>
        <w:rPr>
          <w:szCs w:val="24"/>
        </w:rPr>
        <w:t>2 333,3</w:t>
      </w:r>
      <w:r w:rsidRPr="000D6643">
        <w:rPr>
          <w:szCs w:val="24"/>
        </w:rPr>
        <w:t xml:space="preserve"> руб., рост к уровню  201</w:t>
      </w:r>
      <w:r>
        <w:rPr>
          <w:szCs w:val="24"/>
        </w:rPr>
        <w:t>3</w:t>
      </w:r>
      <w:r w:rsidRPr="000D6643">
        <w:rPr>
          <w:szCs w:val="24"/>
        </w:rPr>
        <w:t xml:space="preserve"> года – </w:t>
      </w:r>
      <w:r>
        <w:rPr>
          <w:szCs w:val="24"/>
        </w:rPr>
        <w:t>110,5</w:t>
      </w:r>
      <w:r w:rsidRPr="000D6643">
        <w:rPr>
          <w:szCs w:val="24"/>
        </w:rPr>
        <w:t>%. Темп роста с</w:t>
      </w:r>
      <w:r>
        <w:rPr>
          <w:szCs w:val="24"/>
        </w:rPr>
        <w:t>реднедушевых</w:t>
      </w:r>
      <w:r w:rsidRPr="000D6643">
        <w:rPr>
          <w:szCs w:val="24"/>
        </w:rPr>
        <w:t xml:space="preserve"> денежны</w:t>
      </w:r>
      <w:r>
        <w:rPr>
          <w:szCs w:val="24"/>
        </w:rPr>
        <w:t>х</w:t>
      </w:r>
      <w:r w:rsidRPr="000D6643">
        <w:rPr>
          <w:szCs w:val="24"/>
        </w:rPr>
        <w:t xml:space="preserve"> доходов в прогнозном 2015 году составит 10</w:t>
      </w:r>
      <w:r>
        <w:rPr>
          <w:szCs w:val="24"/>
        </w:rPr>
        <w:t>7</w:t>
      </w:r>
      <w:r w:rsidRPr="000D6643">
        <w:rPr>
          <w:szCs w:val="24"/>
        </w:rPr>
        <w:t>,</w:t>
      </w:r>
      <w:r>
        <w:rPr>
          <w:szCs w:val="24"/>
        </w:rPr>
        <w:t>1</w:t>
      </w:r>
      <w:r w:rsidRPr="000D6643">
        <w:rPr>
          <w:szCs w:val="24"/>
        </w:rPr>
        <w:t>%, в 2016</w:t>
      </w:r>
      <w:r w:rsidR="000A31CC">
        <w:rPr>
          <w:szCs w:val="24"/>
        </w:rPr>
        <w:t xml:space="preserve"> </w:t>
      </w:r>
      <w:r w:rsidRPr="000D6643">
        <w:rPr>
          <w:szCs w:val="24"/>
        </w:rPr>
        <w:t>-</w:t>
      </w:r>
      <w:r w:rsidR="000A31CC">
        <w:rPr>
          <w:szCs w:val="24"/>
        </w:rPr>
        <w:t xml:space="preserve"> </w:t>
      </w:r>
      <w:r w:rsidRPr="000D6643">
        <w:rPr>
          <w:szCs w:val="24"/>
        </w:rPr>
        <w:t>2017 годы – 109,6</w:t>
      </w:r>
      <w:r w:rsidR="000A31CC">
        <w:rPr>
          <w:szCs w:val="24"/>
        </w:rPr>
        <w:t xml:space="preserve"> </w:t>
      </w:r>
      <w:r w:rsidRPr="000D6643">
        <w:rPr>
          <w:szCs w:val="24"/>
        </w:rPr>
        <w:t>-110,</w:t>
      </w:r>
      <w:r>
        <w:rPr>
          <w:szCs w:val="24"/>
        </w:rPr>
        <w:t>2</w:t>
      </w:r>
      <w:r w:rsidRPr="000D6643">
        <w:rPr>
          <w:szCs w:val="24"/>
        </w:rPr>
        <w:t>%.</w:t>
      </w:r>
      <w:proofErr w:type="gramEnd"/>
    </w:p>
    <w:p w:rsidR="00DF7521" w:rsidRPr="007132C4" w:rsidRDefault="00DF7521" w:rsidP="002161C5">
      <w:pPr>
        <w:ind w:firstLine="709"/>
        <w:jc w:val="both"/>
        <w:rPr>
          <w:sz w:val="26"/>
          <w:szCs w:val="26"/>
        </w:rPr>
      </w:pPr>
      <w:r w:rsidRPr="00E33A18">
        <w:rPr>
          <w:szCs w:val="24"/>
        </w:rPr>
        <w:t>Рост реальных располагаемых денежных доходов населения обусловлен увеличением заработной платы, доходов населения от предпринимательской деятельности, развитием системы пенсионного и социального страхования, адресностью социальной поддержки малообеспеченных категорий населения</w:t>
      </w:r>
      <w:r w:rsidRPr="007132C4">
        <w:rPr>
          <w:sz w:val="26"/>
          <w:szCs w:val="26"/>
        </w:rPr>
        <w:t>.</w:t>
      </w:r>
      <w:r w:rsidR="0019035B">
        <w:rPr>
          <w:sz w:val="26"/>
          <w:szCs w:val="26"/>
        </w:rPr>
        <w:t xml:space="preserve"> </w:t>
      </w:r>
      <w:r w:rsidRPr="000D6643">
        <w:rPr>
          <w:szCs w:val="24"/>
        </w:rPr>
        <w:t xml:space="preserve">Рост  реальных    располагаемых денежных доходов населения </w:t>
      </w:r>
      <w:r>
        <w:rPr>
          <w:szCs w:val="24"/>
        </w:rPr>
        <w:t>в 2013 году составил 105,6 % (в 2012 году-105,1%)</w:t>
      </w:r>
    </w:p>
    <w:p w:rsidR="00DF7521" w:rsidRDefault="00DF7521" w:rsidP="002161C5">
      <w:pPr>
        <w:ind w:firstLine="720"/>
        <w:jc w:val="both"/>
        <w:rPr>
          <w:szCs w:val="24"/>
        </w:rPr>
      </w:pPr>
      <w:r w:rsidRPr="00B536E8">
        <w:rPr>
          <w:szCs w:val="24"/>
        </w:rPr>
        <w:t xml:space="preserve">В связи с повышением уровня жизни населения, в 2013 году и последующие годы будет наблюдаться  </w:t>
      </w:r>
      <w:r>
        <w:rPr>
          <w:szCs w:val="24"/>
        </w:rPr>
        <w:t>увеличение</w:t>
      </w:r>
      <w:r w:rsidRPr="00B536E8">
        <w:rPr>
          <w:szCs w:val="24"/>
        </w:rPr>
        <w:t xml:space="preserve"> покупательской активности населения в связи с  восстановление потребительского кредитования, роста реальных доходов населения. </w:t>
      </w:r>
    </w:p>
    <w:p w:rsidR="00DF7521" w:rsidRPr="006B0D4D" w:rsidRDefault="00DF7521" w:rsidP="002161C5">
      <w:pPr>
        <w:ind w:firstLine="709"/>
        <w:jc w:val="both"/>
        <w:rPr>
          <w:szCs w:val="24"/>
        </w:rPr>
      </w:pPr>
      <w:r w:rsidRPr="006B0D4D">
        <w:rPr>
          <w:szCs w:val="24"/>
        </w:rPr>
        <w:t>В прогнозном периоде по-прежнему основной статьей расходов населения останутся товары и оплата услуг, на которые прогнозируется направить около 6</w:t>
      </w:r>
      <w:r>
        <w:rPr>
          <w:szCs w:val="24"/>
        </w:rPr>
        <w:t>7,5</w:t>
      </w:r>
      <w:r w:rsidRPr="006B0D4D">
        <w:rPr>
          <w:szCs w:val="24"/>
        </w:rPr>
        <w:t xml:space="preserve"> % от общего объема денежных расходов.</w:t>
      </w:r>
    </w:p>
    <w:p w:rsidR="0029298D" w:rsidRPr="00F1088B" w:rsidRDefault="0029298D" w:rsidP="002161C5">
      <w:pPr>
        <w:ind w:firstLine="720"/>
        <w:jc w:val="both"/>
        <w:rPr>
          <w:color w:val="FF0000"/>
          <w:szCs w:val="24"/>
        </w:rPr>
      </w:pPr>
    </w:p>
    <w:p w:rsidR="0029298D" w:rsidRPr="00F1088B" w:rsidRDefault="0029298D" w:rsidP="002161C5">
      <w:pPr>
        <w:jc w:val="center"/>
        <w:rPr>
          <w:color w:val="FF0000"/>
          <w:szCs w:val="24"/>
        </w:rPr>
      </w:pPr>
    </w:p>
    <w:p w:rsidR="0029298D" w:rsidRPr="00FD3F3B" w:rsidRDefault="0029298D" w:rsidP="002161C5">
      <w:pPr>
        <w:ind w:left="-567" w:firstLine="425"/>
        <w:jc w:val="center"/>
        <w:rPr>
          <w:b/>
          <w:szCs w:val="24"/>
        </w:rPr>
      </w:pPr>
      <w:r w:rsidRPr="00FD3F3B">
        <w:rPr>
          <w:b/>
          <w:szCs w:val="24"/>
        </w:rPr>
        <w:t>Труд и занятость</w:t>
      </w:r>
    </w:p>
    <w:p w:rsidR="009A6A05" w:rsidRPr="00F1088B" w:rsidRDefault="009A6A05" w:rsidP="002161C5">
      <w:pPr>
        <w:ind w:left="-567" w:firstLine="425"/>
        <w:jc w:val="center"/>
        <w:rPr>
          <w:b/>
          <w:color w:val="FF0000"/>
          <w:szCs w:val="24"/>
        </w:rPr>
      </w:pPr>
    </w:p>
    <w:p w:rsidR="00FD3F3B" w:rsidRPr="00443756" w:rsidRDefault="00FD3F3B" w:rsidP="002161C5">
      <w:pPr>
        <w:ind w:firstLine="720"/>
        <w:jc w:val="both"/>
        <w:rPr>
          <w:szCs w:val="24"/>
        </w:rPr>
      </w:pPr>
      <w:r w:rsidRPr="00443756">
        <w:rPr>
          <w:szCs w:val="24"/>
        </w:rPr>
        <w:t xml:space="preserve">Трудовые ресурсы являются важнейшим фактором экономического роста.               Доля экономически активного населения, скорректированная на работающих пенсионеров, от общей численности населения составляет 67% . </w:t>
      </w:r>
    </w:p>
    <w:p w:rsidR="00FD3F3B" w:rsidRPr="00443756" w:rsidRDefault="00FD3F3B" w:rsidP="002161C5">
      <w:pPr>
        <w:ind w:firstLine="708"/>
        <w:jc w:val="both"/>
        <w:rPr>
          <w:szCs w:val="24"/>
        </w:rPr>
      </w:pPr>
      <w:r w:rsidRPr="00443756">
        <w:rPr>
          <w:szCs w:val="24"/>
        </w:rPr>
        <w:t xml:space="preserve"> В 2013 году доля </w:t>
      </w:r>
      <w:proofErr w:type="gramStart"/>
      <w:r w:rsidRPr="00443756">
        <w:rPr>
          <w:szCs w:val="24"/>
        </w:rPr>
        <w:t>занятых</w:t>
      </w:r>
      <w:proofErr w:type="gramEnd"/>
      <w:r w:rsidRPr="00443756">
        <w:rPr>
          <w:szCs w:val="24"/>
        </w:rPr>
        <w:t xml:space="preserve"> в экономике  составила </w:t>
      </w:r>
      <w:r>
        <w:rPr>
          <w:szCs w:val="24"/>
        </w:rPr>
        <w:t>86,4</w:t>
      </w:r>
      <w:r w:rsidRPr="00443756">
        <w:rPr>
          <w:szCs w:val="24"/>
        </w:rPr>
        <w:t xml:space="preserve">% от экономически активного населения. Наибольший удельный вес среди занятых в экономике занимают предприятия транспорта и связи – 34 % от общего числа работников крупных и средних предприятий, на долю занятых в строительстве приходится 13 % добыча полезных ископаемых-10%. </w:t>
      </w:r>
    </w:p>
    <w:p w:rsidR="00890C53" w:rsidRPr="00F1088B" w:rsidRDefault="00890C53" w:rsidP="002161C5">
      <w:pPr>
        <w:ind w:firstLine="720"/>
        <w:jc w:val="both"/>
        <w:rPr>
          <w:color w:val="FF0000"/>
          <w:szCs w:val="24"/>
        </w:rPr>
      </w:pPr>
    </w:p>
    <w:p w:rsidR="0029298D" w:rsidRPr="00FD3F3B" w:rsidRDefault="0011064F" w:rsidP="002161C5">
      <w:pPr>
        <w:ind w:firstLine="720"/>
        <w:jc w:val="right"/>
        <w:rPr>
          <w:szCs w:val="24"/>
        </w:rPr>
      </w:pPr>
      <w:r w:rsidRPr="00FD3F3B">
        <w:rPr>
          <w:szCs w:val="24"/>
        </w:rPr>
        <w:t>Диаграмма 1</w:t>
      </w:r>
      <w:r w:rsidR="00BE7DDC" w:rsidRPr="00FD3F3B">
        <w:rPr>
          <w:szCs w:val="24"/>
        </w:rPr>
        <w:t>6</w:t>
      </w:r>
    </w:p>
    <w:p w:rsidR="00954B4F" w:rsidRPr="00F1088B" w:rsidRDefault="00954B4F" w:rsidP="002161C5">
      <w:pPr>
        <w:rPr>
          <w:color w:val="FF0000"/>
          <w:szCs w:val="24"/>
        </w:rPr>
      </w:pPr>
      <w:r w:rsidRPr="00F1088B">
        <w:rPr>
          <w:noProof/>
          <w:color w:val="FF0000"/>
          <w:szCs w:val="24"/>
        </w:rPr>
        <w:drawing>
          <wp:inline distT="0" distB="0" distL="0" distR="0">
            <wp:extent cx="5953125" cy="3571875"/>
            <wp:effectExtent l="19050" t="0" r="0" b="0"/>
            <wp:docPr id="1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D3F3B" w:rsidRDefault="00FD3F3B" w:rsidP="002161C5">
      <w:pPr>
        <w:ind w:firstLine="720"/>
        <w:jc w:val="both"/>
        <w:rPr>
          <w:color w:val="FF0000"/>
          <w:szCs w:val="24"/>
        </w:rPr>
      </w:pPr>
    </w:p>
    <w:p w:rsidR="00FD3F3B" w:rsidRPr="00443756" w:rsidRDefault="00FD3F3B" w:rsidP="002161C5">
      <w:pPr>
        <w:ind w:firstLine="720"/>
        <w:jc w:val="both"/>
        <w:rPr>
          <w:szCs w:val="24"/>
        </w:rPr>
      </w:pPr>
      <w:proofErr w:type="gramStart"/>
      <w:r w:rsidRPr="00443756">
        <w:rPr>
          <w:szCs w:val="24"/>
        </w:rPr>
        <w:lastRenderedPageBreak/>
        <w:t xml:space="preserve">Среднесписочная численность работников всех предприятий и организаций (по полному кругу) за 2013 год  составила 17,2 тыс. чел., из них 13,1 тыс. чел. - на крупных и средних предприятиях, 4,1 тыс. чел. заняты в малом бизнесе. </w:t>
      </w:r>
      <w:proofErr w:type="gramEnd"/>
    </w:p>
    <w:p w:rsidR="00FD3F3B" w:rsidRDefault="00FD3F3B" w:rsidP="00283BDD">
      <w:pPr>
        <w:ind w:firstLine="709"/>
        <w:jc w:val="both"/>
        <w:rPr>
          <w:szCs w:val="24"/>
        </w:rPr>
      </w:pPr>
      <w:r w:rsidRPr="007E0B43">
        <w:rPr>
          <w:bCs/>
          <w:szCs w:val="24"/>
        </w:rPr>
        <w:t xml:space="preserve">В 2014 году среднесписочная численность работников на крупных и средних предприятиях увеличится на </w:t>
      </w:r>
      <w:r>
        <w:rPr>
          <w:bCs/>
          <w:szCs w:val="24"/>
        </w:rPr>
        <w:t>3,0</w:t>
      </w:r>
      <w:r w:rsidRPr="007E0B43">
        <w:rPr>
          <w:bCs/>
          <w:szCs w:val="24"/>
        </w:rPr>
        <w:t>% и оценочно составит 13,</w:t>
      </w:r>
      <w:r>
        <w:rPr>
          <w:bCs/>
          <w:szCs w:val="24"/>
        </w:rPr>
        <w:t>495</w:t>
      </w:r>
      <w:r w:rsidRPr="007E0B43">
        <w:rPr>
          <w:bCs/>
          <w:szCs w:val="24"/>
        </w:rPr>
        <w:t xml:space="preserve"> тыс. чел. </w:t>
      </w:r>
      <w:r w:rsidR="00283BDD" w:rsidRPr="00283BDD">
        <w:rPr>
          <w:szCs w:val="24"/>
        </w:rPr>
        <w:t>Сохранению положительных тенденций рынка труда Белоярского района в прогнозируемом периоде будет способствовать у</w:t>
      </w:r>
      <w:r w:rsidRPr="00283BDD">
        <w:rPr>
          <w:szCs w:val="24"/>
        </w:rPr>
        <w:t>величени</w:t>
      </w:r>
      <w:r w:rsidR="00283BDD">
        <w:rPr>
          <w:szCs w:val="24"/>
        </w:rPr>
        <w:t>е</w:t>
      </w:r>
      <w:r w:rsidRPr="007E0B43">
        <w:rPr>
          <w:szCs w:val="24"/>
        </w:rPr>
        <w:t xml:space="preserve"> работников крупных и средних организаций (в первую очередь в связи с перспективами развития предприятий нефтегазового комплекса</w:t>
      </w:r>
      <w:proofErr w:type="gramStart"/>
      <w:r w:rsidRPr="007E0B43">
        <w:rPr>
          <w:szCs w:val="24"/>
        </w:rPr>
        <w:t>:О</w:t>
      </w:r>
      <w:proofErr w:type="gramEnd"/>
      <w:r w:rsidRPr="007E0B43">
        <w:rPr>
          <w:szCs w:val="24"/>
        </w:rPr>
        <w:t>АО «РИТЭК», ОАО «Сургутнефтегаз»), развитием потребительского рынка (строительство торгово-развлекательного центра), занятых в сфере малого предпринимательства и крестьянско-фермерских хозяйствах.</w:t>
      </w:r>
    </w:p>
    <w:p w:rsidR="00FD3F3B" w:rsidRPr="007E0B43" w:rsidRDefault="00FD3F3B" w:rsidP="002161C5">
      <w:pPr>
        <w:numPr>
          <w:ilvl w:val="12"/>
          <w:numId w:val="0"/>
        </w:numPr>
        <w:ind w:firstLine="709"/>
        <w:jc w:val="right"/>
        <w:rPr>
          <w:szCs w:val="24"/>
        </w:rPr>
      </w:pPr>
      <w:r w:rsidRPr="007E0B43">
        <w:rPr>
          <w:szCs w:val="24"/>
        </w:rPr>
        <w:t>Диаграмма 17</w:t>
      </w:r>
    </w:p>
    <w:p w:rsidR="00FD3F3B" w:rsidRPr="007E0B43" w:rsidRDefault="00FD3F3B" w:rsidP="002161C5">
      <w:pPr>
        <w:numPr>
          <w:ilvl w:val="12"/>
          <w:numId w:val="0"/>
        </w:numPr>
        <w:ind w:firstLine="709"/>
        <w:jc w:val="right"/>
        <w:rPr>
          <w:szCs w:val="24"/>
        </w:rPr>
      </w:pPr>
    </w:p>
    <w:p w:rsidR="00FD3F3B" w:rsidRPr="00F1088B" w:rsidRDefault="000D72C2" w:rsidP="002161C5">
      <w:pPr>
        <w:numPr>
          <w:ilvl w:val="12"/>
          <w:numId w:val="0"/>
        </w:numPr>
        <w:ind w:firstLine="709"/>
        <w:jc w:val="both"/>
        <w:rPr>
          <w:color w:val="FF0000"/>
          <w:szCs w:val="24"/>
        </w:rPr>
      </w:pPr>
      <w:r>
        <w:rPr>
          <w:noProof/>
        </w:rPr>
        <w:drawing>
          <wp:inline distT="0" distB="0" distL="0" distR="0">
            <wp:extent cx="5400675" cy="344805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9298D" w:rsidRPr="00444266" w:rsidRDefault="0029298D" w:rsidP="002161C5">
      <w:pPr>
        <w:ind w:firstLine="708"/>
        <w:jc w:val="both"/>
        <w:rPr>
          <w:szCs w:val="24"/>
        </w:rPr>
      </w:pPr>
      <w:r w:rsidRPr="00444266">
        <w:rPr>
          <w:szCs w:val="24"/>
        </w:rPr>
        <w:t xml:space="preserve">Уровень регистрируемой  </w:t>
      </w:r>
      <w:r w:rsidRPr="00444266">
        <w:rPr>
          <w:b/>
          <w:szCs w:val="24"/>
        </w:rPr>
        <w:t xml:space="preserve">безработицы </w:t>
      </w:r>
      <w:proofErr w:type="gramStart"/>
      <w:r w:rsidRPr="00444266">
        <w:rPr>
          <w:szCs w:val="24"/>
        </w:rPr>
        <w:t>на конец</w:t>
      </w:r>
      <w:proofErr w:type="gramEnd"/>
      <w:r w:rsidRPr="00444266">
        <w:rPr>
          <w:szCs w:val="24"/>
        </w:rPr>
        <w:t xml:space="preserve"> 201</w:t>
      </w:r>
      <w:r w:rsidR="00E9732B" w:rsidRPr="00444266">
        <w:rPr>
          <w:szCs w:val="24"/>
        </w:rPr>
        <w:t>3</w:t>
      </w:r>
      <w:r w:rsidRPr="00444266">
        <w:rPr>
          <w:szCs w:val="24"/>
        </w:rPr>
        <w:t xml:space="preserve"> года составил </w:t>
      </w:r>
      <w:r w:rsidR="00E9732B" w:rsidRPr="00444266">
        <w:rPr>
          <w:szCs w:val="24"/>
        </w:rPr>
        <w:t>0,95</w:t>
      </w:r>
      <w:r w:rsidRPr="00444266">
        <w:rPr>
          <w:szCs w:val="24"/>
        </w:rPr>
        <w:t xml:space="preserve"> % к численности экономически активного  населения. </w:t>
      </w:r>
    </w:p>
    <w:p w:rsidR="0029298D" w:rsidRPr="00444266" w:rsidRDefault="0029298D" w:rsidP="002161C5">
      <w:pPr>
        <w:ind w:firstLine="708"/>
        <w:jc w:val="both"/>
        <w:rPr>
          <w:szCs w:val="24"/>
        </w:rPr>
      </w:pPr>
      <w:r w:rsidRPr="00444266">
        <w:rPr>
          <w:szCs w:val="24"/>
        </w:rPr>
        <w:t>В 201</w:t>
      </w:r>
      <w:r w:rsidR="00E9732B" w:rsidRPr="00444266">
        <w:rPr>
          <w:szCs w:val="24"/>
        </w:rPr>
        <w:t>3</w:t>
      </w:r>
      <w:r w:rsidRPr="00444266">
        <w:rPr>
          <w:szCs w:val="24"/>
        </w:rPr>
        <w:t xml:space="preserve"> году администрацией Белоярского района совместно с Центром занятости населения продолжалась работа по снижению уровня безработицы. Проводилась  работа по заключению договоров с работодателями на выполнение общественных работ, временное трудоустройство, стажировку и опережающее обучение. </w:t>
      </w:r>
    </w:p>
    <w:p w:rsidR="00DC4465" w:rsidRPr="00444266" w:rsidRDefault="00DC4465" w:rsidP="002161C5">
      <w:pPr>
        <w:ind w:firstLine="709"/>
        <w:jc w:val="both"/>
        <w:rPr>
          <w:szCs w:val="24"/>
        </w:rPr>
      </w:pPr>
      <w:r w:rsidRPr="00444266">
        <w:rPr>
          <w:szCs w:val="24"/>
        </w:rPr>
        <w:t>За  2013 год создано 138 рабочих мест, в том числе 119 рабочих мест создано субъектами малого предпринимательства, 19 рабочих мест – крупными и средними предприятиями. За 2013 год зарегистрировал свою деятельность 71 индивидуальный предприниматель, создано 9 новых крестьянско-фермерских хозяйств, дополнительно создано 4 рабочих места, 54 места созданы предприятиями.</w:t>
      </w:r>
    </w:p>
    <w:p w:rsidR="0029298D" w:rsidRPr="00444266" w:rsidRDefault="0029298D" w:rsidP="002161C5">
      <w:pPr>
        <w:ind w:firstLine="708"/>
        <w:jc w:val="both"/>
        <w:rPr>
          <w:szCs w:val="24"/>
        </w:rPr>
      </w:pPr>
      <w:r w:rsidRPr="00444266">
        <w:rPr>
          <w:szCs w:val="24"/>
        </w:rPr>
        <w:t xml:space="preserve">По предварительным данным прогноз на 2014-2016 годы можно считать относительно стабильным. Резких колебаний в динамике численности безработных не предвидится. </w:t>
      </w:r>
    </w:p>
    <w:p w:rsidR="0029298D" w:rsidRDefault="0029298D" w:rsidP="002161C5">
      <w:pPr>
        <w:ind w:left="-567" w:firstLine="425"/>
        <w:jc w:val="center"/>
        <w:rPr>
          <w:b/>
          <w:color w:val="FF0000"/>
          <w:szCs w:val="24"/>
        </w:rPr>
      </w:pPr>
    </w:p>
    <w:p w:rsidR="00003EDF" w:rsidRPr="00F1088B" w:rsidRDefault="00003EDF" w:rsidP="002161C5">
      <w:pPr>
        <w:ind w:left="-567" w:firstLine="425"/>
        <w:jc w:val="center"/>
        <w:rPr>
          <w:b/>
          <w:color w:val="FF0000"/>
          <w:szCs w:val="24"/>
        </w:rPr>
      </w:pPr>
    </w:p>
    <w:p w:rsidR="0029298D" w:rsidRPr="00E465C2" w:rsidRDefault="0029298D" w:rsidP="002161C5">
      <w:pPr>
        <w:ind w:left="-567" w:firstLine="425"/>
        <w:jc w:val="center"/>
        <w:rPr>
          <w:b/>
          <w:szCs w:val="24"/>
        </w:rPr>
      </w:pPr>
      <w:r w:rsidRPr="00E465C2">
        <w:rPr>
          <w:b/>
          <w:szCs w:val="24"/>
        </w:rPr>
        <w:t>Демография</w:t>
      </w:r>
    </w:p>
    <w:p w:rsidR="00BE7DDC" w:rsidRPr="00F1088B" w:rsidRDefault="00BE7DDC" w:rsidP="002161C5">
      <w:pPr>
        <w:ind w:left="-567" w:firstLine="425"/>
        <w:jc w:val="center"/>
        <w:rPr>
          <w:b/>
          <w:color w:val="FF0000"/>
          <w:szCs w:val="24"/>
        </w:rPr>
      </w:pPr>
    </w:p>
    <w:p w:rsidR="0029298D" w:rsidRPr="004A470A" w:rsidRDefault="0029298D" w:rsidP="002161C5">
      <w:pPr>
        <w:pStyle w:val="aa"/>
        <w:tabs>
          <w:tab w:val="left" w:pos="9360"/>
        </w:tabs>
        <w:ind w:firstLine="720"/>
        <w:jc w:val="both"/>
        <w:rPr>
          <w:b w:val="0"/>
          <w:sz w:val="24"/>
          <w:szCs w:val="24"/>
        </w:rPr>
      </w:pPr>
      <w:r w:rsidRPr="004A470A">
        <w:rPr>
          <w:b w:val="0"/>
          <w:sz w:val="24"/>
          <w:szCs w:val="24"/>
        </w:rPr>
        <w:t xml:space="preserve">Среднегодовая численность населения Белоярского района за 2013 год составила 29,898 тыс. человек, что на 91 человека  меньше уровня 2012 года. </w:t>
      </w:r>
    </w:p>
    <w:p w:rsidR="005F56C0" w:rsidRPr="002161C5" w:rsidRDefault="0029298D" w:rsidP="002161C5">
      <w:pPr>
        <w:pStyle w:val="aa"/>
        <w:tabs>
          <w:tab w:val="left" w:pos="9360"/>
        </w:tabs>
        <w:ind w:firstLine="720"/>
        <w:jc w:val="both"/>
        <w:rPr>
          <w:b w:val="0"/>
          <w:sz w:val="24"/>
          <w:szCs w:val="24"/>
        </w:rPr>
      </w:pPr>
      <w:r w:rsidRPr="004A470A">
        <w:rPr>
          <w:b w:val="0"/>
          <w:sz w:val="24"/>
          <w:szCs w:val="24"/>
        </w:rPr>
        <w:lastRenderedPageBreak/>
        <w:t>На протяжении ряда лет на территории Белоярского района показатели рождаемости превышают показатели смертности более чем в 2,5 раза.   За отчетный год на территории района родилось  423 ребенка. Уровень  рождаемости составил 14,2 промилле, что на 0,9 промилле выше, чем  в среднем по России.</w:t>
      </w:r>
    </w:p>
    <w:p w:rsidR="005F56C0" w:rsidRPr="00F1088B" w:rsidRDefault="005F56C0" w:rsidP="002161C5">
      <w:pPr>
        <w:rPr>
          <w:color w:val="FF0000"/>
          <w:szCs w:val="24"/>
        </w:rPr>
      </w:pPr>
    </w:p>
    <w:p w:rsidR="0029298D" w:rsidRPr="00646E06" w:rsidRDefault="0029298D" w:rsidP="002161C5">
      <w:pPr>
        <w:ind w:firstLine="720"/>
        <w:jc w:val="right"/>
        <w:rPr>
          <w:szCs w:val="24"/>
        </w:rPr>
      </w:pPr>
      <w:r w:rsidRPr="00646E06">
        <w:rPr>
          <w:szCs w:val="24"/>
        </w:rPr>
        <w:t xml:space="preserve">Диаграмма </w:t>
      </w:r>
      <w:r w:rsidR="00925388" w:rsidRPr="00646E06">
        <w:rPr>
          <w:szCs w:val="24"/>
        </w:rPr>
        <w:t>18</w:t>
      </w:r>
    </w:p>
    <w:p w:rsidR="0029298D" w:rsidRPr="00F1088B" w:rsidRDefault="004A470A" w:rsidP="002161C5">
      <w:pPr>
        <w:jc w:val="center"/>
        <w:rPr>
          <w:color w:val="FF0000"/>
          <w:szCs w:val="24"/>
        </w:rPr>
      </w:pPr>
      <w:r w:rsidRPr="004A470A">
        <w:rPr>
          <w:noProof/>
          <w:color w:val="FF0000"/>
          <w:szCs w:val="24"/>
        </w:rPr>
        <w:drawing>
          <wp:inline distT="0" distB="0" distL="0" distR="0">
            <wp:extent cx="5553075" cy="375285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F56C0" w:rsidRPr="00F1088B" w:rsidRDefault="005F56C0" w:rsidP="002161C5">
      <w:pPr>
        <w:ind w:firstLine="720"/>
        <w:jc w:val="both"/>
        <w:rPr>
          <w:color w:val="FF0000"/>
          <w:szCs w:val="24"/>
        </w:rPr>
      </w:pPr>
    </w:p>
    <w:p w:rsidR="0029298D" w:rsidRPr="004A470A" w:rsidRDefault="0029298D" w:rsidP="002161C5">
      <w:pPr>
        <w:ind w:firstLine="720"/>
        <w:jc w:val="both"/>
        <w:rPr>
          <w:szCs w:val="24"/>
        </w:rPr>
      </w:pPr>
      <w:r w:rsidRPr="004A470A">
        <w:rPr>
          <w:szCs w:val="24"/>
        </w:rPr>
        <w:t>Среднегодовая численность населения района за 2014 год оценочно составит 29,8</w:t>
      </w:r>
      <w:r w:rsidR="004A470A" w:rsidRPr="004A470A">
        <w:rPr>
          <w:szCs w:val="24"/>
        </w:rPr>
        <w:t>73</w:t>
      </w:r>
      <w:r w:rsidRPr="004A470A">
        <w:rPr>
          <w:szCs w:val="24"/>
        </w:rPr>
        <w:t xml:space="preserve"> тыс. человек</w:t>
      </w:r>
      <w:r w:rsidR="004A470A" w:rsidRPr="004A470A">
        <w:rPr>
          <w:szCs w:val="24"/>
        </w:rPr>
        <w:t>а</w:t>
      </w:r>
      <w:r w:rsidRPr="004A470A">
        <w:rPr>
          <w:szCs w:val="24"/>
        </w:rPr>
        <w:t xml:space="preserve">. </w:t>
      </w:r>
    </w:p>
    <w:p w:rsidR="0029298D" w:rsidRPr="004A470A" w:rsidRDefault="0029298D" w:rsidP="002161C5">
      <w:pPr>
        <w:ind w:firstLine="708"/>
        <w:jc w:val="both"/>
        <w:rPr>
          <w:szCs w:val="24"/>
        </w:rPr>
      </w:pPr>
      <w:r w:rsidRPr="004A470A">
        <w:rPr>
          <w:szCs w:val="24"/>
        </w:rPr>
        <w:t>Прогноз демографической ситуации в Белоярском районе на 2015-2017 годы рассчитан на  стабильный уровень показателей рождаемости и смертности.</w:t>
      </w:r>
    </w:p>
    <w:p w:rsidR="0029298D" w:rsidRPr="00A6372C" w:rsidRDefault="0029298D" w:rsidP="002161C5">
      <w:pPr>
        <w:ind w:firstLine="720"/>
        <w:jc w:val="both"/>
        <w:rPr>
          <w:szCs w:val="24"/>
        </w:rPr>
      </w:pPr>
      <w:r w:rsidRPr="00A6372C">
        <w:rPr>
          <w:szCs w:val="24"/>
        </w:rPr>
        <w:t xml:space="preserve">Территория Белоярского района привлекательна для мигрантов, прежде всего, для трудовых мигрантов. Важнейшими факторами привлекательности являются высокие темпы строительства на территории Белоярского района, уровень заработной платы, сложившаяся конъюнктура на рынке труда (дефицит квалифицированной и неквалифицированной рабочей силы).  </w:t>
      </w:r>
      <w:proofErr w:type="gramStart"/>
      <w:r w:rsidRPr="00A6372C">
        <w:rPr>
          <w:szCs w:val="24"/>
        </w:rPr>
        <w:t>Миграционные процессы Белоярского района</w:t>
      </w:r>
      <w:r w:rsidR="003C2AA8">
        <w:rPr>
          <w:szCs w:val="24"/>
        </w:rPr>
        <w:t>,</w:t>
      </w:r>
      <w:r w:rsidRPr="00A6372C">
        <w:rPr>
          <w:szCs w:val="24"/>
        </w:rPr>
        <w:t xml:space="preserve"> по сравнению с прошлым годом</w:t>
      </w:r>
      <w:r w:rsidR="003C2AA8">
        <w:rPr>
          <w:szCs w:val="24"/>
        </w:rPr>
        <w:t>,</w:t>
      </w:r>
      <w:r w:rsidRPr="00A6372C">
        <w:rPr>
          <w:szCs w:val="24"/>
        </w:rPr>
        <w:t xml:space="preserve">  </w:t>
      </w:r>
      <w:r w:rsidR="00A6372C" w:rsidRPr="00A6372C">
        <w:rPr>
          <w:szCs w:val="24"/>
        </w:rPr>
        <w:t xml:space="preserve">имеют положительную динамику за счет </w:t>
      </w:r>
      <w:r w:rsidR="004B7E5D">
        <w:rPr>
          <w:szCs w:val="24"/>
        </w:rPr>
        <w:t xml:space="preserve">прибытия </w:t>
      </w:r>
      <w:r w:rsidR="00A6372C" w:rsidRPr="00A6372C">
        <w:rPr>
          <w:szCs w:val="24"/>
        </w:rPr>
        <w:t>граждан Украины</w:t>
      </w:r>
      <w:r w:rsidRPr="00A6372C">
        <w:rPr>
          <w:szCs w:val="24"/>
        </w:rPr>
        <w:t xml:space="preserve">,  </w:t>
      </w:r>
      <w:r w:rsidR="00A6372C" w:rsidRPr="00A6372C">
        <w:rPr>
          <w:szCs w:val="24"/>
        </w:rPr>
        <w:t xml:space="preserve">однако </w:t>
      </w:r>
      <w:r w:rsidRPr="00A6372C">
        <w:rPr>
          <w:szCs w:val="24"/>
        </w:rPr>
        <w:t xml:space="preserve">отток населения по-прежнему  преобладает над </w:t>
      </w:r>
      <w:r w:rsidR="003C2AA8">
        <w:rPr>
          <w:szCs w:val="24"/>
        </w:rPr>
        <w:t>притоком, поскольку</w:t>
      </w:r>
      <w:r w:rsidRPr="00A6372C">
        <w:rPr>
          <w:szCs w:val="24"/>
        </w:rPr>
        <w:t xml:space="preserve"> помимо трудовых мигрантов</w:t>
      </w:r>
      <w:r w:rsidR="00A6372C" w:rsidRPr="00A6372C">
        <w:rPr>
          <w:szCs w:val="24"/>
        </w:rPr>
        <w:t xml:space="preserve"> и граждан, вынужденно покинувших территорию Украины</w:t>
      </w:r>
      <w:r w:rsidR="003C2AA8">
        <w:rPr>
          <w:szCs w:val="24"/>
        </w:rPr>
        <w:t>,</w:t>
      </w:r>
      <w:r w:rsidRPr="00A6372C">
        <w:rPr>
          <w:szCs w:val="24"/>
        </w:rPr>
        <w:t xml:space="preserve"> отмечается отток населения из числа пенсионеров, выезжающих на постоянное место жительства в другие территории Ханты-Мансийского автономного округа - Югры и регионы России.</w:t>
      </w:r>
      <w:proofErr w:type="gramEnd"/>
    </w:p>
    <w:p w:rsidR="0029298D" w:rsidRPr="00A6372C" w:rsidRDefault="004B7E5D" w:rsidP="002161C5">
      <w:pPr>
        <w:ind w:firstLine="720"/>
        <w:jc w:val="both"/>
        <w:rPr>
          <w:szCs w:val="24"/>
        </w:rPr>
      </w:pPr>
      <w:r>
        <w:rPr>
          <w:szCs w:val="24"/>
        </w:rPr>
        <w:t>Доля</w:t>
      </w:r>
      <w:r w:rsidR="0029298D" w:rsidRPr="00A6372C">
        <w:rPr>
          <w:szCs w:val="24"/>
        </w:rPr>
        <w:t xml:space="preserve"> городского населения </w:t>
      </w:r>
      <w:r>
        <w:rPr>
          <w:szCs w:val="24"/>
        </w:rPr>
        <w:t>составляет 67,6%</w:t>
      </w:r>
      <w:r w:rsidR="008E58E5">
        <w:rPr>
          <w:szCs w:val="24"/>
        </w:rPr>
        <w:t xml:space="preserve"> </w:t>
      </w:r>
      <w:r w:rsidR="0029298D" w:rsidRPr="00A6372C">
        <w:rPr>
          <w:szCs w:val="24"/>
        </w:rPr>
        <w:t>от числ</w:t>
      </w:r>
      <w:r>
        <w:rPr>
          <w:szCs w:val="24"/>
        </w:rPr>
        <w:t>енности населения,</w:t>
      </w:r>
      <w:r w:rsidR="0029298D" w:rsidRPr="00A6372C">
        <w:rPr>
          <w:szCs w:val="24"/>
        </w:rPr>
        <w:t xml:space="preserve"> проживающ</w:t>
      </w:r>
      <w:r>
        <w:rPr>
          <w:szCs w:val="24"/>
        </w:rPr>
        <w:t>его</w:t>
      </w:r>
      <w:r w:rsidR="0029298D" w:rsidRPr="00A6372C">
        <w:rPr>
          <w:szCs w:val="24"/>
        </w:rPr>
        <w:t xml:space="preserve"> на территории Белоярского района</w:t>
      </w:r>
      <w:r>
        <w:rPr>
          <w:szCs w:val="24"/>
        </w:rPr>
        <w:t>.</w:t>
      </w:r>
      <w:r w:rsidR="0029298D" w:rsidRPr="00A6372C">
        <w:rPr>
          <w:szCs w:val="24"/>
        </w:rPr>
        <w:t xml:space="preserve"> Соотношение численности  городского и сельского населения сохранится </w:t>
      </w:r>
      <w:r w:rsidR="00227273">
        <w:rPr>
          <w:szCs w:val="24"/>
        </w:rPr>
        <w:t xml:space="preserve">на прежнем уровне </w:t>
      </w:r>
      <w:r w:rsidR="0029298D" w:rsidRPr="00A6372C">
        <w:rPr>
          <w:szCs w:val="24"/>
        </w:rPr>
        <w:t>в прогнозе на  2015-2017 годы.</w:t>
      </w:r>
    </w:p>
    <w:p w:rsidR="0029298D" w:rsidRPr="004A5DF5" w:rsidRDefault="0029298D" w:rsidP="002161C5">
      <w:pPr>
        <w:ind w:firstLine="720"/>
        <w:jc w:val="both"/>
        <w:rPr>
          <w:szCs w:val="24"/>
        </w:rPr>
      </w:pPr>
      <w:r w:rsidRPr="004A5DF5">
        <w:rPr>
          <w:szCs w:val="24"/>
        </w:rPr>
        <w:t>Анализ населения Белоярского района по полу показывает, что на протяжении последних лет удельный вес мужчин и женщин в общей численности постоянного населения остается неизменным: 50,7</w:t>
      </w:r>
      <w:r w:rsidR="00A6372C" w:rsidRPr="004A5DF5">
        <w:rPr>
          <w:szCs w:val="24"/>
        </w:rPr>
        <w:t>3</w:t>
      </w:r>
      <w:r w:rsidRPr="004A5DF5">
        <w:rPr>
          <w:szCs w:val="24"/>
        </w:rPr>
        <w:t>% составляют мужчины, 49,</w:t>
      </w:r>
      <w:r w:rsidR="00A6372C" w:rsidRPr="004A5DF5">
        <w:rPr>
          <w:szCs w:val="24"/>
        </w:rPr>
        <w:t>2</w:t>
      </w:r>
      <w:r w:rsidR="004A5DF5" w:rsidRPr="004A5DF5">
        <w:rPr>
          <w:szCs w:val="24"/>
        </w:rPr>
        <w:t>7</w:t>
      </w:r>
      <w:r w:rsidRPr="004A5DF5">
        <w:rPr>
          <w:szCs w:val="24"/>
        </w:rPr>
        <w:t xml:space="preserve">% - женщины. </w:t>
      </w:r>
    </w:p>
    <w:p w:rsidR="0029298D" w:rsidRPr="001D17E4" w:rsidRDefault="001D17E4" w:rsidP="002161C5">
      <w:pPr>
        <w:ind w:firstLine="720"/>
        <w:jc w:val="both"/>
        <w:rPr>
          <w:szCs w:val="24"/>
        </w:rPr>
      </w:pPr>
      <w:r>
        <w:rPr>
          <w:szCs w:val="24"/>
        </w:rPr>
        <w:t xml:space="preserve">Средний возраст населения Белоярского района в </w:t>
      </w:r>
      <w:r w:rsidR="008D1FBC">
        <w:rPr>
          <w:szCs w:val="24"/>
        </w:rPr>
        <w:t>2013 году</w:t>
      </w:r>
      <w:r>
        <w:rPr>
          <w:szCs w:val="24"/>
        </w:rPr>
        <w:t xml:space="preserve"> составил 34 года.</w:t>
      </w:r>
      <w:r w:rsidR="008D1FBC">
        <w:rPr>
          <w:szCs w:val="24"/>
        </w:rPr>
        <w:t xml:space="preserve"> </w:t>
      </w:r>
      <w:r w:rsidR="00614CE5">
        <w:rPr>
          <w:szCs w:val="24"/>
        </w:rPr>
        <w:t>В последние годы о</w:t>
      </w:r>
      <w:r>
        <w:rPr>
          <w:szCs w:val="24"/>
        </w:rPr>
        <w:t>тмечается уменьшение численности</w:t>
      </w:r>
      <w:r w:rsidR="0029298D" w:rsidRPr="001D17E4">
        <w:rPr>
          <w:szCs w:val="24"/>
        </w:rPr>
        <w:t xml:space="preserve"> трудоспособного населения в общем </w:t>
      </w:r>
      <w:r w:rsidR="0029298D" w:rsidRPr="001D17E4">
        <w:rPr>
          <w:szCs w:val="24"/>
        </w:rPr>
        <w:lastRenderedPageBreak/>
        <w:t>составе населения</w:t>
      </w:r>
      <w:r w:rsidR="00614CE5">
        <w:rPr>
          <w:szCs w:val="24"/>
        </w:rPr>
        <w:t>,</w:t>
      </w:r>
      <w:r w:rsidR="008D1FBC">
        <w:rPr>
          <w:szCs w:val="24"/>
        </w:rPr>
        <w:t xml:space="preserve"> однако </w:t>
      </w:r>
      <w:r w:rsidR="0029298D" w:rsidRPr="001D17E4">
        <w:rPr>
          <w:szCs w:val="24"/>
        </w:rPr>
        <w:t>увеличилась доля лиц моложе трудоспособного и старше трудоспособного возраста. По предварительной оценке в 2015-2017 годы возрастная структура населения останется без изменений: доля населения моложе трудоспособного возраста – 22%, трудоспособное – 67%, население старше трудоспособного возраста – 11%.</w:t>
      </w:r>
    </w:p>
    <w:p w:rsidR="005F56C0" w:rsidRPr="00646E06" w:rsidRDefault="005F56C0" w:rsidP="00AB366C">
      <w:pPr>
        <w:rPr>
          <w:b/>
          <w:szCs w:val="24"/>
        </w:rPr>
      </w:pPr>
    </w:p>
    <w:p w:rsidR="0029298D" w:rsidRPr="00646E06" w:rsidRDefault="0029298D" w:rsidP="002161C5">
      <w:pPr>
        <w:ind w:left="-567" w:firstLine="425"/>
        <w:jc w:val="center"/>
        <w:rPr>
          <w:b/>
          <w:szCs w:val="24"/>
        </w:rPr>
      </w:pPr>
      <w:r w:rsidRPr="00646E06">
        <w:rPr>
          <w:b/>
          <w:szCs w:val="24"/>
        </w:rPr>
        <w:t>Развитие отраслей социальной сферы</w:t>
      </w:r>
    </w:p>
    <w:p w:rsidR="0029298D" w:rsidRPr="00646E06" w:rsidRDefault="0029298D" w:rsidP="002161C5">
      <w:pPr>
        <w:ind w:left="-567" w:firstLine="425"/>
        <w:jc w:val="center"/>
        <w:rPr>
          <w:b/>
          <w:szCs w:val="24"/>
        </w:rPr>
      </w:pPr>
    </w:p>
    <w:p w:rsidR="0029298D" w:rsidRPr="00003EDF" w:rsidRDefault="0029298D" w:rsidP="00003EDF">
      <w:pPr>
        <w:ind w:firstLine="709"/>
        <w:rPr>
          <w:b/>
          <w:i/>
          <w:szCs w:val="24"/>
        </w:rPr>
      </w:pPr>
      <w:r w:rsidRPr="00003EDF">
        <w:rPr>
          <w:b/>
          <w:i/>
          <w:szCs w:val="24"/>
        </w:rPr>
        <w:t>Здравоохранение</w:t>
      </w:r>
    </w:p>
    <w:p w:rsidR="0029298D" w:rsidRPr="00646E06" w:rsidRDefault="0029298D" w:rsidP="002161C5">
      <w:pPr>
        <w:pStyle w:val="a8"/>
        <w:tabs>
          <w:tab w:val="left" w:pos="720"/>
        </w:tabs>
        <w:spacing w:after="0"/>
        <w:ind w:left="0" w:firstLine="720"/>
        <w:jc w:val="both"/>
        <w:rPr>
          <w:szCs w:val="24"/>
        </w:rPr>
      </w:pPr>
      <w:r w:rsidRPr="00751121">
        <w:rPr>
          <w:szCs w:val="24"/>
        </w:rPr>
        <w:t xml:space="preserve">Система здравоохранения Белоярского района представлена бюджетным учреждением </w:t>
      </w:r>
      <w:r w:rsidR="00751121" w:rsidRPr="00751121">
        <w:rPr>
          <w:szCs w:val="24"/>
        </w:rPr>
        <w:t>Ханты-Мансийского автономного округа</w:t>
      </w:r>
      <w:r w:rsidRPr="00751121">
        <w:rPr>
          <w:szCs w:val="24"/>
        </w:rPr>
        <w:t xml:space="preserve"> - Югры «Белоярская районная больница» (далее – БУ ХМАО-Югры «БРБ») со структурными подразделениями в городе и сельских поселениях. В состав БУ</w:t>
      </w:r>
      <w:r w:rsidR="00751121" w:rsidRPr="00751121">
        <w:rPr>
          <w:szCs w:val="24"/>
        </w:rPr>
        <w:t xml:space="preserve"> ХМАО-Югры </w:t>
      </w:r>
      <w:r w:rsidRPr="00751121">
        <w:rPr>
          <w:szCs w:val="24"/>
        </w:rPr>
        <w:t>«БРБ» входят больничные учреждения</w:t>
      </w:r>
      <w:r w:rsidRPr="00646E06">
        <w:rPr>
          <w:szCs w:val="24"/>
        </w:rPr>
        <w:t xml:space="preserve">на 230 коек амбулаторно-поликлинические подразделения на 970 посещений в смену, фельдшерско-акушерские пункты в деревнях Юильск, Нумто, Тугияны, Пашторы и селе Ванзеват. </w:t>
      </w:r>
    </w:p>
    <w:p w:rsidR="0029298D" w:rsidRPr="00646E06" w:rsidRDefault="0029298D" w:rsidP="002161C5">
      <w:pPr>
        <w:ind w:firstLine="720"/>
        <w:jc w:val="both"/>
        <w:rPr>
          <w:szCs w:val="24"/>
        </w:rPr>
      </w:pPr>
      <w:r w:rsidRPr="00646E06">
        <w:rPr>
          <w:szCs w:val="24"/>
        </w:rPr>
        <w:t>В расчете на 10 тысяч населения обеспеченность муниципальными амбулаторно-поликлиническими учреждениями в 2014 году оценочно составит 325 посещений в смену, койками к</w:t>
      </w:r>
      <w:r w:rsidR="00646E06" w:rsidRPr="00646E06">
        <w:rPr>
          <w:szCs w:val="24"/>
        </w:rPr>
        <w:t>руглосуточного пребывания – 77</w:t>
      </w:r>
      <w:r w:rsidRPr="00646E06">
        <w:rPr>
          <w:szCs w:val="24"/>
        </w:rPr>
        <w:t xml:space="preserve"> коек. В 2015-2017 годах  прогнозные значения показателей обеспеченности населения учреждениями здравоохранения изменятся   незначительно. На их расчетную величину определенное  влияние  оказывает  прогнозируемая демографическая ситуация в  Белоярском районе. </w:t>
      </w:r>
    </w:p>
    <w:p w:rsidR="0029298D" w:rsidRPr="00461BCE" w:rsidRDefault="0029298D" w:rsidP="002161C5">
      <w:pPr>
        <w:pStyle w:val="a8"/>
        <w:tabs>
          <w:tab w:val="left" w:pos="720"/>
        </w:tabs>
        <w:spacing w:after="0"/>
        <w:ind w:left="0" w:firstLine="720"/>
        <w:jc w:val="both"/>
        <w:rPr>
          <w:szCs w:val="24"/>
        </w:rPr>
      </w:pPr>
      <w:r w:rsidRPr="00461BCE">
        <w:rPr>
          <w:szCs w:val="24"/>
        </w:rPr>
        <w:t xml:space="preserve">В 2013 году первичная заболеваемость населения сократилось на </w:t>
      </w:r>
      <w:proofErr w:type="gramStart"/>
      <w:r w:rsidRPr="00461BCE">
        <w:rPr>
          <w:szCs w:val="24"/>
        </w:rPr>
        <w:t>4</w:t>
      </w:r>
      <w:proofErr w:type="gramEnd"/>
      <w:r w:rsidRPr="00461BCE">
        <w:rPr>
          <w:szCs w:val="24"/>
        </w:rPr>
        <w:t xml:space="preserve"> % и составила 760,9 случаев на 1 тыс. человек населения, уровень общей заболеваемости сократился на 4,5 %.</w:t>
      </w:r>
    </w:p>
    <w:p w:rsidR="0029298D" w:rsidRPr="00461BCE" w:rsidRDefault="0029298D" w:rsidP="002161C5">
      <w:pPr>
        <w:ind w:firstLine="720"/>
        <w:jc w:val="both"/>
        <w:rPr>
          <w:spacing w:val="2"/>
          <w:position w:val="-2"/>
          <w:szCs w:val="24"/>
        </w:rPr>
      </w:pPr>
      <w:r w:rsidRPr="00461BCE">
        <w:rPr>
          <w:spacing w:val="2"/>
          <w:position w:val="-2"/>
          <w:szCs w:val="24"/>
        </w:rPr>
        <w:t>Осуществляется предоставление муниципальной услуги населению «Электронная запись на прием к врачу».</w:t>
      </w:r>
    </w:p>
    <w:p w:rsidR="0029298D" w:rsidRPr="00751121" w:rsidRDefault="0029298D" w:rsidP="002161C5">
      <w:pPr>
        <w:pStyle w:val="a8"/>
        <w:tabs>
          <w:tab w:val="left" w:pos="720"/>
        </w:tabs>
        <w:spacing w:after="0"/>
        <w:ind w:left="0" w:firstLine="720"/>
        <w:jc w:val="both"/>
        <w:rPr>
          <w:szCs w:val="24"/>
        </w:rPr>
      </w:pPr>
      <w:r w:rsidRPr="00751121">
        <w:rPr>
          <w:szCs w:val="24"/>
        </w:rPr>
        <w:t xml:space="preserve">С целью улучшения качества </w:t>
      </w:r>
      <w:r w:rsidR="00A745AD" w:rsidRPr="00751121">
        <w:rPr>
          <w:szCs w:val="24"/>
        </w:rPr>
        <w:t xml:space="preserve">и доступности </w:t>
      </w:r>
      <w:r w:rsidRPr="00751121">
        <w:rPr>
          <w:szCs w:val="24"/>
        </w:rPr>
        <w:t>оказываемых услуг в 201</w:t>
      </w:r>
      <w:r w:rsidR="00A745AD" w:rsidRPr="00751121">
        <w:rPr>
          <w:szCs w:val="24"/>
        </w:rPr>
        <w:t>4</w:t>
      </w:r>
      <w:r w:rsidRPr="00751121">
        <w:rPr>
          <w:szCs w:val="24"/>
        </w:rPr>
        <w:t xml:space="preserve"> году </w:t>
      </w:r>
      <w:r w:rsidR="00751121" w:rsidRPr="00751121">
        <w:rPr>
          <w:szCs w:val="24"/>
        </w:rPr>
        <w:t>планируется завершение строительства</w:t>
      </w:r>
      <w:r w:rsidRPr="00751121">
        <w:rPr>
          <w:szCs w:val="24"/>
        </w:rPr>
        <w:t xml:space="preserve"> нового здания </w:t>
      </w:r>
      <w:r w:rsidR="00A745AD" w:rsidRPr="00751121">
        <w:rPr>
          <w:szCs w:val="24"/>
        </w:rPr>
        <w:t xml:space="preserve">участковой больницы </w:t>
      </w:r>
      <w:proofErr w:type="gramStart"/>
      <w:r w:rsidR="00A745AD" w:rsidRPr="00751121">
        <w:rPr>
          <w:szCs w:val="24"/>
        </w:rPr>
        <w:t>в</w:t>
      </w:r>
      <w:proofErr w:type="gramEnd"/>
      <w:r w:rsidR="00A745AD" w:rsidRPr="00751121">
        <w:rPr>
          <w:szCs w:val="24"/>
        </w:rPr>
        <w:t xml:space="preserve"> с.п. Полноват</w:t>
      </w:r>
      <w:r w:rsidRPr="00751121">
        <w:rPr>
          <w:szCs w:val="24"/>
        </w:rPr>
        <w:t>.</w:t>
      </w:r>
    </w:p>
    <w:p w:rsidR="0029298D" w:rsidRPr="00646E06" w:rsidRDefault="0029298D" w:rsidP="002161C5">
      <w:pPr>
        <w:tabs>
          <w:tab w:val="left" w:pos="720"/>
        </w:tabs>
        <w:ind w:firstLine="720"/>
        <w:jc w:val="right"/>
        <w:rPr>
          <w:szCs w:val="24"/>
        </w:rPr>
      </w:pPr>
      <w:r w:rsidRPr="00646E06">
        <w:rPr>
          <w:szCs w:val="24"/>
        </w:rPr>
        <w:t xml:space="preserve">Диаграмма </w:t>
      </w:r>
      <w:r w:rsidR="00925388" w:rsidRPr="00646E06">
        <w:rPr>
          <w:szCs w:val="24"/>
        </w:rPr>
        <w:t>19</w:t>
      </w:r>
    </w:p>
    <w:p w:rsidR="0029298D" w:rsidRPr="00F1088B" w:rsidRDefault="003016A9" w:rsidP="002161C5">
      <w:pPr>
        <w:tabs>
          <w:tab w:val="left" w:pos="720"/>
        </w:tabs>
        <w:jc w:val="center"/>
        <w:rPr>
          <w:color w:val="FF0000"/>
          <w:szCs w:val="24"/>
        </w:rPr>
      </w:pPr>
      <w:r w:rsidRPr="003016A9">
        <w:rPr>
          <w:noProof/>
          <w:color w:val="FF0000"/>
          <w:szCs w:val="24"/>
        </w:rPr>
        <w:drawing>
          <wp:inline distT="0" distB="0" distL="0" distR="0">
            <wp:extent cx="5572125" cy="2895600"/>
            <wp:effectExtent l="19050" t="0" r="9525"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9298D" w:rsidRPr="00F1088B" w:rsidRDefault="0029298D" w:rsidP="002161C5">
      <w:pPr>
        <w:pStyle w:val="a3"/>
        <w:tabs>
          <w:tab w:val="left" w:pos="540"/>
        </w:tabs>
        <w:spacing w:after="0"/>
        <w:jc w:val="right"/>
        <w:rPr>
          <w:color w:val="FF0000"/>
          <w:szCs w:val="24"/>
        </w:rPr>
      </w:pPr>
    </w:p>
    <w:p w:rsidR="0029298D" w:rsidRPr="00AB366C" w:rsidRDefault="0029298D" w:rsidP="00AB366C">
      <w:pPr>
        <w:ind w:firstLine="708"/>
        <w:jc w:val="both"/>
        <w:rPr>
          <w:color w:val="FF0000"/>
          <w:szCs w:val="24"/>
        </w:rPr>
      </w:pPr>
      <w:r w:rsidRPr="00646E06">
        <w:rPr>
          <w:szCs w:val="24"/>
        </w:rPr>
        <w:t xml:space="preserve">В расчете на 10 тысяч населения обеспеченность врачами в 2014 году оценочно составит </w:t>
      </w:r>
      <w:r w:rsidR="00B95D01" w:rsidRPr="00646E06">
        <w:rPr>
          <w:szCs w:val="24"/>
        </w:rPr>
        <w:t>41</w:t>
      </w:r>
      <w:r w:rsidR="00646E06" w:rsidRPr="00646E06">
        <w:rPr>
          <w:szCs w:val="24"/>
        </w:rPr>
        <w:t xml:space="preserve"> человек</w:t>
      </w:r>
      <w:r w:rsidRPr="00646E06">
        <w:rPr>
          <w:szCs w:val="24"/>
        </w:rPr>
        <w:t xml:space="preserve">, средними медицинскими работниками – </w:t>
      </w:r>
      <w:r w:rsidR="00B95D01" w:rsidRPr="00646E06">
        <w:rPr>
          <w:szCs w:val="24"/>
        </w:rPr>
        <w:t>1</w:t>
      </w:r>
      <w:r w:rsidR="00646E06" w:rsidRPr="00646E06">
        <w:rPr>
          <w:szCs w:val="24"/>
        </w:rPr>
        <w:t xml:space="preserve">12,8 </w:t>
      </w:r>
      <w:r w:rsidRPr="00646E06">
        <w:rPr>
          <w:szCs w:val="24"/>
        </w:rPr>
        <w:t>чел</w:t>
      </w:r>
      <w:r w:rsidR="00646E06" w:rsidRPr="00646E06">
        <w:rPr>
          <w:szCs w:val="24"/>
        </w:rPr>
        <w:t>овек</w:t>
      </w:r>
      <w:r w:rsidRPr="00646E06">
        <w:rPr>
          <w:szCs w:val="24"/>
        </w:rPr>
        <w:t>. В прогнозных 2015-2017 годах численность врачей и среднего медицинского персонала изменится незначительно.</w:t>
      </w:r>
    </w:p>
    <w:p w:rsidR="00AB366C" w:rsidRPr="00AB366C" w:rsidRDefault="00AB366C" w:rsidP="00AB366C">
      <w:pPr>
        <w:pStyle w:val="ac"/>
        <w:rPr>
          <w:b/>
          <w:i/>
        </w:rPr>
      </w:pPr>
      <w:r>
        <w:rPr>
          <w:b/>
          <w:i/>
        </w:rPr>
        <w:lastRenderedPageBreak/>
        <w:t>Образование</w:t>
      </w:r>
    </w:p>
    <w:p w:rsidR="0029298D" w:rsidRPr="00003EDF" w:rsidRDefault="0029298D" w:rsidP="00003EDF">
      <w:pPr>
        <w:pStyle w:val="ac"/>
      </w:pPr>
      <w:r w:rsidRPr="00003EDF">
        <w:t xml:space="preserve">В сфере образования в Белоярском районе </w:t>
      </w:r>
      <w:r w:rsidR="00C558E0" w:rsidRPr="00003EDF">
        <w:t>функционир</w:t>
      </w:r>
      <w:r w:rsidR="00176474" w:rsidRPr="00003EDF">
        <w:t>уют</w:t>
      </w:r>
      <w:r w:rsidR="009C1FA6" w:rsidRPr="00003EDF">
        <w:t>:</w:t>
      </w:r>
      <w:r w:rsidR="008D1FBC" w:rsidRPr="00003EDF">
        <w:t xml:space="preserve"> </w:t>
      </w:r>
      <w:r w:rsidR="00C558E0" w:rsidRPr="00003EDF">
        <w:t>6</w:t>
      </w:r>
      <w:r w:rsidRPr="00003EDF">
        <w:t xml:space="preserve"> дошкольных образовательных учреждений, 10 учреждений общего образования, 2 учреждения дополнительного образования, 1 бюджетное учреждение профессионального образования.</w:t>
      </w:r>
    </w:p>
    <w:p w:rsidR="0029298D" w:rsidRPr="00ED4644" w:rsidRDefault="009F72DE" w:rsidP="002161C5">
      <w:pPr>
        <w:pStyle w:val="a8"/>
        <w:spacing w:after="0"/>
        <w:ind w:left="0" w:firstLine="709"/>
        <w:jc w:val="both"/>
        <w:rPr>
          <w:szCs w:val="24"/>
        </w:rPr>
      </w:pPr>
      <w:r>
        <w:rPr>
          <w:szCs w:val="24"/>
        </w:rPr>
        <w:t>В</w:t>
      </w:r>
      <w:r w:rsidR="00C558E0" w:rsidRPr="00ED4644">
        <w:rPr>
          <w:szCs w:val="24"/>
        </w:rPr>
        <w:t xml:space="preserve"> 2014 году в</w:t>
      </w:r>
      <w:r w:rsidR="0029298D" w:rsidRPr="00ED4644">
        <w:rPr>
          <w:szCs w:val="24"/>
        </w:rPr>
        <w:t xml:space="preserve"> ведении Белоярского района </w:t>
      </w:r>
      <w:r>
        <w:rPr>
          <w:szCs w:val="24"/>
        </w:rPr>
        <w:t>находятся</w:t>
      </w:r>
      <w:r w:rsidR="008D1FBC">
        <w:rPr>
          <w:szCs w:val="24"/>
        </w:rPr>
        <w:t xml:space="preserve"> </w:t>
      </w:r>
      <w:r w:rsidR="00C558E0" w:rsidRPr="00ED4644">
        <w:rPr>
          <w:szCs w:val="24"/>
        </w:rPr>
        <w:t>6</w:t>
      </w:r>
      <w:r w:rsidR="0029298D" w:rsidRPr="00ED4644">
        <w:rPr>
          <w:szCs w:val="24"/>
        </w:rPr>
        <w:t xml:space="preserve"> дошкольных образовательных учреждений и </w:t>
      </w:r>
      <w:r w:rsidR="00C558E0" w:rsidRPr="00ED4644">
        <w:rPr>
          <w:szCs w:val="24"/>
        </w:rPr>
        <w:t>5</w:t>
      </w:r>
      <w:r w:rsidR="0029298D" w:rsidRPr="00ED4644">
        <w:rPr>
          <w:szCs w:val="24"/>
        </w:rPr>
        <w:t xml:space="preserve"> общеобразовательных учреждени</w:t>
      </w:r>
      <w:r w:rsidR="009D7388" w:rsidRPr="00ED4644">
        <w:rPr>
          <w:szCs w:val="24"/>
        </w:rPr>
        <w:t>й</w:t>
      </w:r>
      <w:r w:rsidR="0029298D" w:rsidRPr="00ED4644">
        <w:rPr>
          <w:szCs w:val="24"/>
        </w:rPr>
        <w:t xml:space="preserve"> с группами </w:t>
      </w:r>
      <w:r w:rsidR="002F4052">
        <w:rPr>
          <w:szCs w:val="24"/>
        </w:rPr>
        <w:t>дошкольного</w:t>
      </w:r>
      <w:r w:rsidR="0029298D" w:rsidRPr="00ED4644">
        <w:rPr>
          <w:szCs w:val="24"/>
        </w:rPr>
        <w:t xml:space="preserve"> образования. Об</w:t>
      </w:r>
      <w:r w:rsidR="00C558E0" w:rsidRPr="00ED4644">
        <w:rPr>
          <w:szCs w:val="24"/>
        </w:rPr>
        <w:t>щая фактическая мощность</w:t>
      </w:r>
      <w:r w:rsidR="00295E2C" w:rsidRPr="00ED4644">
        <w:rPr>
          <w:szCs w:val="24"/>
        </w:rPr>
        <w:t xml:space="preserve"> образовательных</w:t>
      </w:r>
      <w:r w:rsidR="008D1FBC">
        <w:rPr>
          <w:szCs w:val="24"/>
        </w:rPr>
        <w:t xml:space="preserve"> </w:t>
      </w:r>
      <w:r w:rsidR="00295E2C" w:rsidRPr="00ED4644">
        <w:rPr>
          <w:szCs w:val="24"/>
        </w:rPr>
        <w:t>учреждений,  реализующи</w:t>
      </w:r>
      <w:r w:rsidR="00ED4644" w:rsidRPr="00ED4644">
        <w:rPr>
          <w:szCs w:val="24"/>
        </w:rPr>
        <w:t>х</w:t>
      </w:r>
      <w:r w:rsidR="00295E2C" w:rsidRPr="00ED4644">
        <w:rPr>
          <w:szCs w:val="24"/>
        </w:rPr>
        <w:t xml:space="preserve"> основную образовательную программу дошкольного образования</w:t>
      </w:r>
      <w:r w:rsidR="00ED4644">
        <w:rPr>
          <w:szCs w:val="24"/>
        </w:rPr>
        <w:t>, составляет</w:t>
      </w:r>
      <w:r w:rsidR="00134186">
        <w:rPr>
          <w:szCs w:val="24"/>
        </w:rPr>
        <w:t xml:space="preserve"> </w:t>
      </w:r>
      <w:r w:rsidR="0029298D" w:rsidRPr="00ED4644">
        <w:rPr>
          <w:szCs w:val="24"/>
        </w:rPr>
        <w:t>1 7</w:t>
      </w:r>
      <w:r w:rsidR="00295E2C" w:rsidRPr="00ED4644">
        <w:rPr>
          <w:szCs w:val="24"/>
        </w:rPr>
        <w:t>55</w:t>
      </w:r>
      <w:r w:rsidR="0029298D" w:rsidRPr="00ED4644">
        <w:rPr>
          <w:szCs w:val="24"/>
        </w:rPr>
        <w:t xml:space="preserve"> ме</w:t>
      </w:r>
      <w:r w:rsidR="00FC6622" w:rsidRPr="00ED4644">
        <w:rPr>
          <w:szCs w:val="24"/>
        </w:rPr>
        <w:t xml:space="preserve">ст при количестве посещающих </w:t>
      </w:r>
      <w:r w:rsidR="0029298D" w:rsidRPr="00ED4644">
        <w:rPr>
          <w:szCs w:val="24"/>
        </w:rPr>
        <w:t>1</w:t>
      </w:r>
      <w:r w:rsidR="00295E2C" w:rsidRPr="00ED4644">
        <w:rPr>
          <w:szCs w:val="24"/>
        </w:rPr>
        <w:t> </w:t>
      </w:r>
      <w:r w:rsidR="00742C94" w:rsidRPr="00ED4644">
        <w:rPr>
          <w:szCs w:val="24"/>
        </w:rPr>
        <w:t>9</w:t>
      </w:r>
      <w:r w:rsidR="00295E2C" w:rsidRPr="00ED4644">
        <w:rPr>
          <w:szCs w:val="24"/>
        </w:rPr>
        <w:t xml:space="preserve">55 </w:t>
      </w:r>
      <w:r w:rsidR="00742C94" w:rsidRPr="00ED4644">
        <w:rPr>
          <w:szCs w:val="24"/>
        </w:rPr>
        <w:t>детей</w:t>
      </w:r>
      <w:r w:rsidR="0029298D" w:rsidRPr="00ED4644">
        <w:rPr>
          <w:szCs w:val="24"/>
        </w:rPr>
        <w:t xml:space="preserve">. </w:t>
      </w:r>
    </w:p>
    <w:p w:rsidR="0029298D" w:rsidRPr="00E74E4D" w:rsidRDefault="0029298D" w:rsidP="002161C5">
      <w:pPr>
        <w:tabs>
          <w:tab w:val="left" w:pos="540"/>
        </w:tabs>
        <w:ind w:firstLine="709"/>
        <w:jc w:val="both"/>
        <w:rPr>
          <w:szCs w:val="24"/>
        </w:rPr>
      </w:pPr>
      <w:r w:rsidRPr="00E74E4D">
        <w:rPr>
          <w:szCs w:val="24"/>
        </w:rPr>
        <w:t xml:space="preserve">В целях улучшения материально-технической базы учреждений в сфере образования </w:t>
      </w:r>
      <w:r w:rsidR="00C558E0" w:rsidRPr="00E74E4D">
        <w:rPr>
          <w:szCs w:val="24"/>
        </w:rPr>
        <w:t xml:space="preserve">в 2014 году </w:t>
      </w:r>
      <w:r w:rsidR="00ED4644" w:rsidRPr="00E74E4D">
        <w:rPr>
          <w:szCs w:val="24"/>
        </w:rPr>
        <w:t>проведена</w:t>
      </w:r>
      <w:r w:rsidR="008D1FBC">
        <w:rPr>
          <w:szCs w:val="24"/>
        </w:rPr>
        <w:t xml:space="preserve"> </w:t>
      </w:r>
      <w:r w:rsidRPr="00E74E4D">
        <w:rPr>
          <w:szCs w:val="24"/>
        </w:rPr>
        <w:t>реконструкци</w:t>
      </w:r>
      <w:r w:rsidR="00ED4644" w:rsidRPr="00E74E4D">
        <w:rPr>
          <w:szCs w:val="24"/>
        </w:rPr>
        <w:t>я</w:t>
      </w:r>
      <w:r w:rsidRPr="00E74E4D">
        <w:rPr>
          <w:szCs w:val="24"/>
        </w:rPr>
        <w:t xml:space="preserve"> зданий школ под комплексы «Ш</w:t>
      </w:r>
      <w:r w:rsidR="00742C94" w:rsidRPr="00E74E4D">
        <w:rPr>
          <w:szCs w:val="24"/>
        </w:rPr>
        <w:t>кола – детский сад» в п. Лыхма,</w:t>
      </w:r>
      <w:r w:rsidRPr="00E74E4D">
        <w:rPr>
          <w:szCs w:val="24"/>
        </w:rPr>
        <w:t xml:space="preserve"> п</w:t>
      </w:r>
      <w:r w:rsidR="00C558E0" w:rsidRPr="00E74E4D">
        <w:rPr>
          <w:szCs w:val="24"/>
        </w:rPr>
        <w:t xml:space="preserve">. Сорум, с. </w:t>
      </w:r>
      <w:r w:rsidR="00E74E4D">
        <w:rPr>
          <w:szCs w:val="24"/>
        </w:rPr>
        <w:t>Ванзеват. Л</w:t>
      </w:r>
      <w:r w:rsidR="004978A5" w:rsidRPr="00E74E4D">
        <w:rPr>
          <w:szCs w:val="24"/>
        </w:rPr>
        <w:t>иквидированы дошкольные образовательные учреждения в с.</w:t>
      </w:r>
      <w:r w:rsidR="002F4052" w:rsidRPr="00E74E4D">
        <w:rPr>
          <w:szCs w:val="24"/>
        </w:rPr>
        <w:t xml:space="preserve"> п. Верхнеказымский и с</w:t>
      </w:r>
      <w:r w:rsidR="004978A5" w:rsidRPr="00E74E4D">
        <w:rPr>
          <w:szCs w:val="24"/>
        </w:rPr>
        <w:t xml:space="preserve">. </w:t>
      </w:r>
      <w:proofErr w:type="gramStart"/>
      <w:r w:rsidR="004978A5" w:rsidRPr="00E74E4D">
        <w:rPr>
          <w:szCs w:val="24"/>
        </w:rPr>
        <w:t>Полноват</w:t>
      </w:r>
      <w:proofErr w:type="gramEnd"/>
      <w:r w:rsidR="004978A5" w:rsidRPr="00E74E4D">
        <w:rPr>
          <w:szCs w:val="24"/>
        </w:rPr>
        <w:t xml:space="preserve"> с переводом воспитанников в</w:t>
      </w:r>
      <w:r w:rsidR="00E74E4D" w:rsidRPr="00E74E4D">
        <w:rPr>
          <w:szCs w:val="24"/>
        </w:rPr>
        <w:t xml:space="preserve"> группы дошкольного образования общеобразовательных учреждений.</w:t>
      </w:r>
      <w:r w:rsidR="00C558E0" w:rsidRPr="00E74E4D">
        <w:rPr>
          <w:szCs w:val="24"/>
        </w:rPr>
        <w:t xml:space="preserve"> После реконструкции школ на 10 мест сократи</w:t>
      </w:r>
      <w:r w:rsidR="00622AB2">
        <w:rPr>
          <w:szCs w:val="24"/>
        </w:rPr>
        <w:t xml:space="preserve">лась </w:t>
      </w:r>
      <w:r w:rsidR="00C558E0" w:rsidRPr="00E74E4D">
        <w:rPr>
          <w:szCs w:val="24"/>
        </w:rPr>
        <w:t>общая мощность учреждений.</w:t>
      </w:r>
    </w:p>
    <w:p w:rsidR="0029298D" w:rsidRPr="00ED4644" w:rsidRDefault="0029298D" w:rsidP="002161C5">
      <w:pPr>
        <w:ind w:firstLine="709"/>
        <w:jc w:val="both"/>
        <w:rPr>
          <w:szCs w:val="24"/>
        </w:rPr>
      </w:pPr>
      <w:r w:rsidRPr="00ED4644">
        <w:rPr>
          <w:szCs w:val="24"/>
        </w:rPr>
        <w:t xml:space="preserve">Обеспеченность местами в дошкольных образовательных учреждениях и группах </w:t>
      </w:r>
      <w:r w:rsidR="002F4052">
        <w:rPr>
          <w:szCs w:val="24"/>
        </w:rPr>
        <w:t>дошкольного</w:t>
      </w:r>
      <w:r w:rsidRPr="00ED4644">
        <w:rPr>
          <w:szCs w:val="24"/>
        </w:rPr>
        <w:t xml:space="preserve"> образования в МОСШ  Белоярского района в 201</w:t>
      </w:r>
      <w:r w:rsidR="00C558E0" w:rsidRPr="00ED4644">
        <w:rPr>
          <w:szCs w:val="24"/>
        </w:rPr>
        <w:t>4</w:t>
      </w:r>
      <w:r w:rsidRPr="00ED4644">
        <w:rPr>
          <w:szCs w:val="24"/>
        </w:rPr>
        <w:t xml:space="preserve"> году оценочно составит </w:t>
      </w:r>
      <w:r w:rsidR="00C558E0" w:rsidRPr="00ED4644">
        <w:rPr>
          <w:szCs w:val="24"/>
        </w:rPr>
        <w:t>563,4</w:t>
      </w:r>
      <w:r w:rsidRPr="00ED4644">
        <w:rPr>
          <w:szCs w:val="24"/>
        </w:rPr>
        <w:t xml:space="preserve"> места на 1000 детей дошкольного возраста. В прогноз</w:t>
      </w:r>
      <w:r w:rsidR="004A4C6C">
        <w:rPr>
          <w:szCs w:val="24"/>
        </w:rPr>
        <w:t>ном</w:t>
      </w:r>
      <w:r w:rsidRPr="00ED4644">
        <w:rPr>
          <w:szCs w:val="24"/>
        </w:rPr>
        <w:t xml:space="preserve"> 201</w:t>
      </w:r>
      <w:r w:rsidR="00C558E0" w:rsidRPr="00ED4644">
        <w:rPr>
          <w:szCs w:val="24"/>
        </w:rPr>
        <w:t>5</w:t>
      </w:r>
      <w:r w:rsidRPr="00ED4644">
        <w:rPr>
          <w:szCs w:val="24"/>
        </w:rPr>
        <w:t xml:space="preserve"> году обеспеченность составит 56</w:t>
      </w:r>
      <w:r w:rsidR="00C558E0" w:rsidRPr="00ED4644">
        <w:rPr>
          <w:szCs w:val="24"/>
        </w:rPr>
        <w:t xml:space="preserve">4 </w:t>
      </w:r>
      <w:r w:rsidRPr="00ED4644">
        <w:rPr>
          <w:szCs w:val="24"/>
        </w:rPr>
        <w:t>мест</w:t>
      </w:r>
      <w:r w:rsidR="00C558E0" w:rsidRPr="00ED4644">
        <w:rPr>
          <w:szCs w:val="24"/>
        </w:rPr>
        <w:t>а</w:t>
      </w:r>
      <w:r w:rsidRPr="00ED4644">
        <w:rPr>
          <w:szCs w:val="24"/>
        </w:rPr>
        <w:t xml:space="preserve"> на 1000 детей дошкольного возраста, в 201</w:t>
      </w:r>
      <w:r w:rsidR="00C558E0" w:rsidRPr="00ED4644">
        <w:rPr>
          <w:szCs w:val="24"/>
        </w:rPr>
        <w:t>6</w:t>
      </w:r>
      <w:r w:rsidRPr="00ED4644">
        <w:rPr>
          <w:szCs w:val="24"/>
        </w:rPr>
        <w:t xml:space="preserve"> году – </w:t>
      </w:r>
      <w:r w:rsidR="00380752" w:rsidRPr="00ED4644">
        <w:rPr>
          <w:szCs w:val="24"/>
        </w:rPr>
        <w:t>568</w:t>
      </w:r>
      <w:r w:rsidRPr="00ED4644">
        <w:rPr>
          <w:szCs w:val="24"/>
        </w:rPr>
        <w:t xml:space="preserve"> мест, в 201</w:t>
      </w:r>
      <w:r w:rsidR="00380752" w:rsidRPr="00ED4644">
        <w:rPr>
          <w:szCs w:val="24"/>
        </w:rPr>
        <w:t>7</w:t>
      </w:r>
      <w:r w:rsidRPr="00ED4644">
        <w:rPr>
          <w:szCs w:val="24"/>
        </w:rPr>
        <w:t xml:space="preserve"> году -  </w:t>
      </w:r>
      <w:r w:rsidR="00380752" w:rsidRPr="00ED4644">
        <w:rPr>
          <w:szCs w:val="24"/>
        </w:rPr>
        <w:t>637</w:t>
      </w:r>
      <w:r w:rsidRPr="00ED4644">
        <w:rPr>
          <w:szCs w:val="24"/>
        </w:rPr>
        <w:t xml:space="preserve"> мест (при региональном нормативе обеспеченности дошкольными образовательными учреждениями 700 мест на 1000 детей дошкольного возраста)</w:t>
      </w:r>
      <w:r w:rsidR="00380752" w:rsidRPr="00ED4644">
        <w:rPr>
          <w:szCs w:val="24"/>
        </w:rPr>
        <w:t>, при условии ввода нового, энерго</w:t>
      </w:r>
      <w:r w:rsidR="004A4C6C">
        <w:rPr>
          <w:szCs w:val="24"/>
        </w:rPr>
        <w:t>эффективного</w:t>
      </w:r>
      <w:r w:rsidR="00380752" w:rsidRPr="00ED4644">
        <w:rPr>
          <w:szCs w:val="24"/>
        </w:rPr>
        <w:t xml:space="preserve"> детского сада в г. </w:t>
      </w:r>
      <w:proofErr w:type="gramStart"/>
      <w:r w:rsidR="00380752" w:rsidRPr="00ED4644">
        <w:rPr>
          <w:szCs w:val="24"/>
        </w:rPr>
        <w:t>Белоярский</w:t>
      </w:r>
      <w:proofErr w:type="gramEnd"/>
      <w:r w:rsidR="00380752" w:rsidRPr="00ED4644">
        <w:rPr>
          <w:szCs w:val="24"/>
        </w:rPr>
        <w:t xml:space="preserve"> на 200 мест.</w:t>
      </w:r>
    </w:p>
    <w:p w:rsidR="0029298D" w:rsidRPr="002F4052" w:rsidRDefault="0029298D" w:rsidP="002161C5">
      <w:pPr>
        <w:shd w:val="clear" w:color="auto" w:fill="FFFFFF"/>
        <w:ind w:firstLine="709"/>
        <w:jc w:val="both"/>
        <w:rPr>
          <w:szCs w:val="24"/>
        </w:rPr>
      </w:pPr>
      <w:r w:rsidRPr="002F4052">
        <w:rPr>
          <w:szCs w:val="24"/>
        </w:rPr>
        <w:t>На территории Белоярского района действует 10 общеобразовательных учр</w:t>
      </w:r>
      <w:r w:rsidR="00D71CF6" w:rsidRPr="002F4052">
        <w:rPr>
          <w:szCs w:val="24"/>
        </w:rPr>
        <w:t>еждений суммарной мощностью 3 5</w:t>
      </w:r>
      <w:r w:rsidR="00ED4644" w:rsidRPr="002F4052">
        <w:rPr>
          <w:szCs w:val="24"/>
        </w:rPr>
        <w:t>37</w:t>
      </w:r>
      <w:r w:rsidRPr="002F4052">
        <w:rPr>
          <w:szCs w:val="24"/>
        </w:rPr>
        <w:t xml:space="preserve"> мест (без учета  ме</w:t>
      </w:r>
      <w:proofErr w:type="gramStart"/>
      <w:r w:rsidRPr="002F4052">
        <w:rPr>
          <w:szCs w:val="24"/>
        </w:rPr>
        <w:t xml:space="preserve">ст </w:t>
      </w:r>
      <w:r w:rsidR="00FC6622" w:rsidRPr="002F4052">
        <w:rPr>
          <w:szCs w:val="24"/>
        </w:rPr>
        <w:t xml:space="preserve">в </w:t>
      </w:r>
      <w:r w:rsidRPr="002F4052">
        <w:rPr>
          <w:szCs w:val="24"/>
        </w:rPr>
        <w:t>гр</w:t>
      </w:r>
      <w:proofErr w:type="gramEnd"/>
      <w:r w:rsidRPr="002F4052">
        <w:rPr>
          <w:szCs w:val="24"/>
        </w:rPr>
        <w:t xml:space="preserve">уппах </w:t>
      </w:r>
      <w:r w:rsidR="002F4052" w:rsidRPr="002F4052">
        <w:rPr>
          <w:szCs w:val="24"/>
        </w:rPr>
        <w:t>дошкольного</w:t>
      </w:r>
      <w:r w:rsidRPr="002F4052">
        <w:rPr>
          <w:szCs w:val="24"/>
        </w:rPr>
        <w:t xml:space="preserve"> образования в </w:t>
      </w:r>
      <w:r w:rsidR="00380752" w:rsidRPr="002F4052">
        <w:rPr>
          <w:szCs w:val="24"/>
        </w:rPr>
        <w:t>сельских поселениях Белоярского района</w:t>
      </w:r>
      <w:r w:rsidRPr="002F4052">
        <w:rPr>
          <w:szCs w:val="24"/>
        </w:rPr>
        <w:t xml:space="preserve">), при </w:t>
      </w:r>
      <w:r w:rsidR="00751121">
        <w:rPr>
          <w:szCs w:val="24"/>
        </w:rPr>
        <w:t>численности</w:t>
      </w:r>
      <w:r w:rsidRPr="002F4052">
        <w:rPr>
          <w:szCs w:val="24"/>
        </w:rPr>
        <w:t xml:space="preserve"> учащихся </w:t>
      </w:r>
      <w:r w:rsidR="00751121">
        <w:rPr>
          <w:szCs w:val="24"/>
        </w:rPr>
        <w:t xml:space="preserve">-      </w:t>
      </w:r>
      <w:r w:rsidRPr="002F4052">
        <w:rPr>
          <w:szCs w:val="24"/>
        </w:rPr>
        <w:t xml:space="preserve">3 </w:t>
      </w:r>
      <w:r w:rsidR="00380752" w:rsidRPr="002F4052">
        <w:rPr>
          <w:szCs w:val="24"/>
        </w:rPr>
        <w:t>600</w:t>
      </w:r>
      <w:r w:rsidRPr="002F4052">
        <w:rPr>
          <w:szCs w:val="24"/>
        </w:rPr>
        <w:t xml:space="preserve"> человек. </w:t>
      </w:r>
    </w:p>
    <w:p w:rsidR="0029298D" w:rsidRPr="00EE4FD9" w:rsidRDefault="00742C94" w:rsidP="002161C5">
      <w:pPr>
        <w:shd w:val="clear" w:color="auto" w:fill="FFFFFF"/>
        <w:ind w:firstLine="720"/>
        <w:jc w:val="both"/>
        <w:rPr>
          <w:szCs w:val="24"/>
        </w:rPr>
      </w:pPr>
      <w:r w:rsidRPr="00EE4FD9">
        <w:rPr>
          <w:szCs w:val="24"/>
        </w:rPr>
        <w:t xml:space="preserve">Осенью 2014 года </w:t>
      </w:r>
      <w:r w:rsidR="00EE4FD9" w:rsidRPr="00EE4FD9">
        <w:rPr>
          <w:szCs w:val="24"/>
        </w:rPr>
        <w:t>завершен</w:t>
      </w:r>
      <w:r w:rsidRPr="00EE4FD9">
        <w:rPr>
          <w:szCs w:val="24"/>
        </w:rPr>
        <w:t xml:space="preserve"> капитальный ремонт</w:t>
      </w:r>
      <w:r w:rsidR="0029298D" w:rsidRPr="00EE4FD9">
        <w:rPr>
          <w:szCs w:val="24"/>
        </w:rPr>
        <w:t xml:space="preserve">  муниципального автономного образовательного учреждения Белоярского района «Общеобразовательная средняя (полная) школа № </w:t>
      </w:r>
      <w:smartTag w:uri="urn:schemas-microsoft-com:office:smarttags" w:element="metricconverter">
        <w:smartTagPr>
          <w:attr w:name="ProductID" w:val="1 г"/>
        </w:smartTagPr>
        <w:r w:rsidR="0029298D" w:rsidRPr="00EE4FD9">
          <w:rPr>
            <w:szCs w:val="24"/>
          </w:rPr>
          <w:t>1 г</w:t>
        </w:r>
      </w:smartTag>
      <w:r w:rsidR="0029298D" w:rsidRPr="00EE4FD9">
        <w:rPr>
          <w:szCs w:val="24"/>
        </w:rPr>
        <w:t>. Белоярский».</w:t>
      </w:r>
    </w:p>
    <w:p w:rsidR="0029298D" w:rsidRPr="00D93D53" w:rsidRDefault="0029298D" w:rsidP="002161C5">
      <w:pPr>
        <w:ind w:firstLine="709"/>
        <w:jc w:val="both"/>
        <w:rPr>
          <w:szCs w:val="24"/>
        </w:rPr>
      </w:pPr>
      <w:r w:rsidRPr="00D93D53">
        <w:rPr>
          <w:szCs w:val="24"/>
        </w:rPr>
        <w:t>Обеспеченность местами в общеобразовательных учреждениях Белоярского района в 201</w:t>
      </w:r>
      <w:r w:rsidR="009E2A35" w:rsidRPr="00D93D53">
        <w:rPr>
          <w:szCs w:val="24"/>
        </w:rPr>
        <w:t>4</w:t>
      </w:r>
      <w:r w:rsidRPr="00D93D53">
        <w:rPr>
          <w:szCs w:val="24"/>
        </w:rPr>
        <w:t xml:space="preserve"> году оценочно составит </w:t>
      </w:r>
      <w:r w:rsidR="00D71CF6" w:rsidRPr="00D93D53">
        <w:rPr>
          <w:szCs w:val="24"/>
        </w:rPr>
        <w:t>805</w:t>
      </w:r>
      <w:r w:rsidRPr="00D93D53">
        <w:rPr>
          <w:szCs w:val="24"/>
        </w:rPr>
        <w:t xml:space="preserve"> мест на 1000 детей школьного возраста (без учета групп </w:t>
      </w:r>
      <w:r w:rsidR="002F4052" w:rsidRPr="00D93D53">
        <w:rPr>
          <w:szCs w:val="24"/>
        </w:rPr>
        <w:t>дошкольного</w:t>
      </w:r>
      <w:r w:rsidRPr="00D93D53">
        <w:rPr>
          <w:szCs w:val="24"/>
        </w:rPr>
        <w:t xml:space="preserve"> образо</w:t>
      </w:r>
      <w:r w:rsidR="009E2A35" w:rsidRPr="00D93D53">
        <w:rPr>
          <w:szCs w:val="24"/>
        </w:rPr>
        <w:t>вания</w:t>
      </w:r>
      <w:r w:rsidRPr="00D93D53">
        <w:rPr>
          <w:szCs w:val="24"/>
        </w:rPr>
        <w:t>)</w:t>
      </w:r>
      <w:r w:rsidR="00FC6622" w:rsidRPr="00D93D53">
        <w:rPr>
          <w:szCs w:val="24"/>
        </w:rPr>
        <w:t>, при нормативе 900 мест на 1000 детей школьного возраста</w:t>
      </w:r>
      <w:r w:rsidRPr="00D93D53">
        <w:rPr>
          <w:szCs w:val="24"/>
        </w:rPr>
        <w:t xml:space="preserve">. </w:t>
      </w:r>
    </w:p>
    <w:p w:rsidR="0029298D" w:rsidRPr="00D93D53" w:rsidRDefault="0029298D" w:rsidP="002161C5">
      <w:pPr>
        <w:tabs>
          <w:tab w:val="left" w:pos="720"/>
        </w:tabs>
        <w:ind w:firstLine="720"/>
        <w:jc w:val="right"/>
        <w:rPr>
          <w:szCs w:val="24"/>
        </w:rPr>
      </w:pPr>
      <w:r w:rsidRPr="00D93D53">
        <w:rPr>
          <w:szCs w:val="24"/>
        </w:rPr>
        <w:t xml:space="preserve">Диаграмма </w:t>
      </w:r>
      <w:r w:rsidR="0011064F" w:rsidRPr="00D93D53">
        <w:rPr>
          <w:szCs w:val="24"/>
        </w:rPr>
        <w:t>2</w:t>
      </w:r>
      <w:r w:rsidR="00925388" w:rsidRPr="00D93D53">
        <w:rPr>
          <w:szCs w:val="24"/>
        </w:rPr>
        <w:t>0</w:t>
      </w:r>
    </w:p>
    <w:p w:rsidR="0029298D" w:rsidRPr="00F1088B" w:rsidRDefault="0029298D" w:rsidP="002161C5">
      <w:pPr>
        <w:ind w:firstLine="709"/>
        <w:jc w:val="both"/>
        <w:rPr>
          <w:color w:val="FF0000"/>
          <w:szCs w:val="24"/>
        </w:rPr>
      </w:pPr>
    </w:p>
    <w:p w:rsidR="0029298D" w:rsidRPr="00F1088B" w:rsidRDefault="00D93D53" w:rsidP="002161C5">
      <w:pPr>
        <w:ind w:firstLine="284"/>
        <w:jc w:val="center"/>
        <w:rPr>
          <w:noProof/>
          <w:color w:val="FF0000"/>
          <w:szCs w:val="24"/>
        </w:rPr>
      </w:pPr>
      <w:r w:rsidRPr="00D93D53">
        <w:rPr>
          <w:noProof/>
          <w:color w:val="FF0000"/>
          <w:szCs w:val="24"/>
        </w:rPr>
        <w:drawing>
          <wp:inline distT="0" distB="0" distL="0" distR="0">
            <wp:extent cx="5629275" cy="2876550"/>
            <wp:effectExtent l="19050" t="0" r="9525"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9298D" w:rsidRPr="00F1088B" w:rsidRDefault="0029298D" w:rsidP="002161C5">
      <w:pPr>
        <w:ind w:firstLine="709"/>
        <w:jc w:val="both"/>
        <w:rPr>
          <w:color w:val="FF0000"/>
          <w:szCs w:val="24"/>
        </w:rPr>
      </w:pPr>
      <w:proofErr w:type="gramStart"/>
      <w:r w:rsidRPr="002F4052">
        <w:rPr>
          <w:noProof/>
          <w:szCs w:val="24"/>
        </w:rPr>
        <w:lastRenderedPageBreak/>
        <w:t xml:space="preserve">Уменьшение обеспеченности местами в общеобразовательных учреждениях Белоярского района объясняется увеличением численности детей школьного возраста с </w:t>
      </w:r>
      <w:r w:rsidR="009E2A35" w:rsidRPr="002F4052">
        <w:rPr>
          <w:szCs w:val="24"/>
        </w:rPr>
        <w:t>4 278 человек в 2014 году до 4 515 человек в 2017 году</w:t>
      </w:r>
      <w:r w:rsidR="002F4052">
        <w:rPr>
          <w:szCs w:val="24"/>
        </w:rPr>
        <w:t xml:space="preserve">, </w:t>
      </w:r>
      <w:r w:rsidR="002F4052">
        <w:rPr>
          <w:noProof/>
          <w:szCs w:val="24"/>
        </w:rPr>
        <w:t>а также</w:t>
      </w:r>
      <w:r w:rsidRPr="002F4052">
        <w:rPr>
          <w:noProof/>
          <w:szCs w:val="24"/>
        </w:rPr>
        <w:t xml:space="preserve"> уменьшением </w:t>
      </w:r>
      <w:r w:rsidR="00432C71" w:rsidRPr="002F4052">
        <w:rPr>
          <w:noProof/>
          <w:szCs w:val="24"/>
        </w:rPr>
        <w:t xml:space="preserve">на 82 единицы </w:t>
      </w:r>
      <w:r w:rsidRPr="002F4052">
        <w:rPr>
          <w:noProof/>
          <w:szCs w:val="24"/>
        </w:rPr>
        <w:t xml:space="preserve">количества мест </w:t>
      </w:r>
      <w:r w:rsidR="00432C71">
        <w:rPr>
          <w:noProof/>
          <w:szCs w:val="24"/>
        </w:rPr>
        <w:t>в  школе</w:t>
      </w:r>
      <w:r w:rsidRPr="002F4052">
        <w:rPr>
          <w:noProof/>
          <w:szCs w:val="24"/>
        </w:rPr>
        <w:t xml:space="preserve"> </w:t>
      </w:r>
      <w:r w:rsidR="00432C71">
        <w:rPr>
          <w:noProof/>
          <w:szCs w:val="24"/>
        </w:rPr>
        <w:t>села</w:t>
      </w:r>
      <w:r w:rsidRPr="002F4052">
        <w:rPr>
          <w:noProof/>
          <w:szCs w:val="24"/>
        </w:rPr>
        <w:t xml:space="preserve"> Ванзеват</w:t>
      </w:r>
      <w:r w:rsidR="009E2A35" w:rsidRPr="002F4052">
        <w:rPr>
          <w:noProof/>
          <w:szCs w:val="24"/>
        </w:rPr>
        <w:t xml:space="preserve"> </w:t>
      </w:r>
      <w:r w:rsidR="00432C71" w:rsidRPr="002F4052">
        <w:rPr>
          <w:noProof/>
          <w:szCs w:val="24"/>
        </w:rPr>
        <w:t>после реконструкции в 201</w:t>
      </w:r>
      <w:r w:rsidR="00432C71">
        <w:rPr>
          <w:noProof/>
          <w:szCs w:val="24"/>
        </w:rPr>
        <w:t>5</w:t>
      </w:r>
      <w:r w:rsidR="00432C71" w:rsidRPr="002F4052">
        <w:rPr>
          <w:noProof/>
          <w:szCs w:val="24"/>
        </w:rPr>
        <w:t xml:space="preserve"> году </w:t>
      </w:r>
      <w:r w:rsidR="00D71CF6" w:rsidRPr="002F4052">
        <w:rPr>
          <w:noProof/>
          <w:szCs w:val="24"/>
        </w:rPr>
        <w:t>(</w:t>
      </w:r>
      <w:r w:rsidR="009E2A35" w:rsidRPr="002F4052">
        <w:rPr>
          <w:noProof/>
          <w:szCs w:val="24"/>
        </w:rPr>
        <w:t>в связи с низкой наполняемостью классов).</w:t>
      </w:r>
      <w:proofErr w:type="gramEnd"/>
      <w:r w:rsidR="00432C71">
        <w:rPr>
          <w:noProof/>
          <w:szCs w:val="24"/>
        </w:rPr>
        <w:t xml:space="preserve"> </w:t>
      </w:r>
      <w:r w:rsidR="000B589D" w:rsidRPr="002F4052">
        <w:rPr>
          <w:noProof/>
          <w:szCs w:val="24"/>
        </w:rPr>
        <w:t>Обеспеченность местами в общеобразовательных учреждениях увеличится к 2017 году до 8</w:t>
      </w:r>
      <w:r w:rsidR="002F4052" w:rsidRPr="002F4052">
        <w:rPr>
          <w:noProof/>
          <w:szCs w:val="24"/>
        </w:rPr>
        <w:t>07</w:t>
      </w:r>
      <w:r w:rsidR="000B589D" w:rsidRPr="002F4052">
        <w:rPr>
          <w:noProof/>
          <w:szCs w:val="24"/>
        </w:rPr>
        <w:t xml:space="preserve"> мест на 1000 детей школьного возраста при условии ввода в эксплуатацию новой школы в г. Белоярский.</w:t>
      </w:r>
    </w:p>
    <w:p w:rsidR="0029298D" w:rsidRPr="00D93D53" w:rsidRDefault="0029298D" w:rsidP="002161C5">
      <w:pPr>
        <w:ind w:firstLine="709"/>
        <w:jc w:val="both"/>
        <w:rPr>
          <w:szCs w:val="24"/>
        </w:rPr>
      </w:pPr>
      <w:r w:rsidRPr="00D93D53">
        <w:rPr>
          <w:szCs w:val="24"/>
        </w:rPr>
        <w:t>В районе наблюдается стабильность показателей, характеризующих успешность освоения обучающихся образовательных программ. Об этом свидетельствуют и результаты единого государственного экзамена – 100% учащи</w:t>
      </w:r>
      <w:r w:rsidR="00432C71">
        <w:rPr>
          <w:szCs w:val="24"/>
        </w:rPr>
        <w:t>хся успешно сдают</w:t>
      </w:r>
      <w:r w:rsidRPr="00D93D53">
        <w:rPr>
          <w:szCs w:val="24"/>
        </w:rPr>
        <w:t xml:space="preserve"> единый государственный экзамен</w:t>
      </w:r>
      <w:r w:rsidR="00432C71">
        <w:rPr>
          <w:szCs w:val="24"/>
        </w:rPr>
        <w:t xml:space="preserve"> с 2009 года</w:t>
      </w:r>
      <w:r w:rsidRPr="00D93D53">
        <w:rPr>
          <w:szCs w:val="24"/>
        </w:rPr>
        <w:t xml:space="preserve">. Учащиеся общеобразовательных учреждений района ежегодно  являются победителями, призерами, дипломантами, лауреатами олимпиад, интеллектуальных и творческих конкурсов различного уровня. </w:t>
      </w:r>
    </w:p>
    <w:p w:rsidR="0029298D" w:rsidRPr="00D93D53" w:rsidRDefault="0029298D" w:rsidP="002161C5">
      <w:pPr>
        <w:pStyle w:val="21"/>
        <w:spacing w:after="0" w:line="240" w:lineRule="auto"/>
        <w:ind w:left="0" w:firstLine="709"/>
        <w:jc w:val="both"/>
        <w:rPr>
          <w:szCs w:val="24"/>
        </w:rPr>
      </w:pPr>
      <w:r w:rsidRPr="00D93D53">
        <w:rPr>
          <w:szCs w:val="24"/>
        </w:rPr>
        <w:t>В структуру внешкольных учреждений входят: детский подростковый центр и дворец детского (юношеского) творчества. Все учреждения являются муниципальными. Суммарная фактическая пропускная способность этих учреждений в 201</w:t>
      </w:r>
      <w:r w:rsidR="00742C94" w:rsidRPr="00D93D53">
        <w:rPr>
          <w:szCs w:val="24"/>
        </w:rPr>
        <w:t>4</w:t>
      </w:r>
      <w:r w:rsidR="00D93D53" w:rsidRPr="00D93D53">
        <w:rPr>
          <w:szCs w:val="24"/>
        </w:rPr>
        <w:t xml:space="preserve"> году составила 2 </w:t>
      </w:r>
      <w:r w:rsidR="00D93D53">
        <w:rPr>
          <w:szCs w:val="24"/>
        </w:rPr>
        <w:t>460</w:t>
      </w:r>
      <w:r w:rsidRPr="00D93D53">
        <w:rPr>
          <w:szCs w:val="24"/>
        </w:rPr>
        <w:t xml:space="preserve"> детей.  </w:t>
      </w:r>
    </w:p>
    <w:p w:rsidR="0029298D" w:rsidRPr="00F1088B" w:rsidRDefault="0029298D" w:rsidP="00003EDF">
      <w:pPr>
        <w:pStyle w:val="ac"/>
      </w:pPr>
    </w:p>
    <w:p w:rsidR="0029298D" w:rsidRPr="00AB366C" w:rsidRDefault="0029298D" w:rsidP="00AB366C">
      <w:pPr>
        <w:ind w:firstLine="709"/>
        <w:rPr>
          <w:b/>
          <w:i/>
          <w:szCs w:val="24"/>
        </w:rPr>
      </w:pPr>
      <w:r w:rsidRPr="00AB366C">
        <w:rPr>
          <w:b/>
          <w:i/>
          <w:szCs w:val="24"/>
        </w:rPr>
        <w:t>Культура</w:t>
      </w:r>
    </w:p>
    <w:p w:rsidR="0029298D" w:rsidRPr="009D7388" w:rsidRDefault="0029298D" w:rsidP="002161C5">
      <w:pPr>
        <w:ind w:firstLine="720"/>
        <w:jc w:val="both"/>
        <w:rPr>
          <w:szCs w:val="24"/>
        </w:rPr>
      </w:pPr>
      <w:r w:rsidRPr="009D7388">
        <w:rPr>
          <w:szCs w:val="24"/>
        </w:rPr>
        <w:t>Структура учреждений культуры Белоярского района включает в себя  18 учреждений культурно - досугового типа,  10 библиотек, входящих в централизованную библиотечную систему,  детскую школу искусств и  2 выставочных зала.</w:t>
      </w:r>
    </w:p>
    <w:p w:rsidR="0029298D" w:rsidRPr="009D7388" w:rsidRDefault="0029298D" w:rsidP="002161C5">
      <w:pPr>
        <w:ind w:firstLine="709"/>
        <w:jc w:val="both"/>
        <w:rPr>
          <w:szCs w:val="24"/>
        </w:rPr>
      </w:pPr>
      <w:r w:rsidRPr="009D7388">
        <w:rPr>
          <w:szCs w:val="24"/>
        </w:rPr>
        <w:t>В 2013 году проведен капитальный ремонт МАУК Белоярского района «Камертон», зрительный зал увеличен на 108 мест, что позволило повысить обеспеченность местами в учреждениях культурно - досугового типа.</w:t>
      </w:r>
    </w:p>
    <w:p w:rsidR="0029298D" w:rsidRPr="009D7388" w:rsidRDefault="0029298D" w:rsidP="002161C5">
      <w:pPr>
        <w:ind w:firstLine="720"/>
        <w:jc w:val="both"/>
        <w:rPr>
          <w:szCs w:val="24"/>
        </w:rPr>
      </w:pPr>
      <w:r w:rsidRPr="009D7388">
        <w:rPr>
          <w:szCs w:val="24"/>
        </w:rPr>
        <w:t xml:space="preserve">В Белоярском районе функционируют  </w:t>
      </w:r>
      <w:r w:rsidR="009D7388" w:rsidRPr="009D7388">
        <w:rPr>
          <w:szCs w:val="24"/>
        </w:rPr>
        <w:t>4</w:t>
      </w:r>
      <w:r w:rsidRPr="009D7388">
        <w:rPr>
          <w:szCs w:val="24"/>
        </w:rPr>
        <w:t xml:space="preserve"> киноустанов</w:t>
      </w:r>
      <w:r w:rsidR="009D7388" w:rsidRPr="009D7388">
        <w:rPr>
          <w:szCs w:val="24"/>
        </w:rPr>
        <w:t>ки</w:t>
      </w:r>
      <w:r w:rsidRPr="009D7388">
        <w:rPr>
          <w:szCs w:val="24"/>
        </w:rPr>
        <w:t xml:space="preserve">: </w:t>
      </w:r>
      <w:proofErr w:type="gramStart"/>
      <w:r w:rsidR="009D7388" w:rsidRPr="009D7388">
        <w:rPr>
          <w:szCs w:val="24"/>
        </w:rPr>
        <w:t>в</w:t>
      </w:r>
      <w:proofErr w:type="gramEnd"/>
      <w:r w:rsidR="009D7388" w:rsidRPr="009D7388">
        <w:rPr>
          <w:szCs w:val="24"/>
        </w:rPr>
        <w:t xml:space="preserve"> с.п. Верхнеказымский </w:t>
      </w:r>
      <w:r w:rsidRPr="009D7388">
        <w:rPr>
          <w:szCs w:val="24"/>
        </w:rPr>
        <w:t xml:space="preserve">на 300 мест, киноустановка </w:t>
      </w:r>
      <w:proofErr w:type="gramStart"/>
      <w:r w:rsidRPr="009D7388">
        <w:rPr>
          <w:szCs w:val="24"/>
        </w:rPr>
        <w:t>в</w:t>
      </w:r>
      <w:proofErr w:type="gramEnd"/>
      <w:r w:rsidRPr="009D7388">
        <w:rPr>
          <w:szCs w:val="24"/>
        </w:rPr>
        <w:t xml:space="preserve"> с.п. </w:t>
      </w:r>
      <w:proofErr w:type="gramStart"/>
      <w:r w:rsidRPr="009D7388">
        <w:rPr>
          <w:szCs w:val="24"/>
        </w:rPr>
        <w:t>Полноват</w:t>
      </w:r>
      <w:proofErr w:type="gramEnd"/>
      <w:r w:rsidRPr="009D7388">
        <w:rPr>
          <w:szCs w:val="24"/>
        </w:rPr>
        <w:t xml:space="preserve"> на 200 мест и в с.п. Казым на 200 мест, киноустановка на 200 мест </w:t>
      </w:r>
      <w:proofErr w:type="gramStart"/>
      <w:r w:rsidRPr="009D7388">
        <w:rPr>
          <w:szCs w:val="24"/>
        </w:rPr>
        <w:t>в</w:t>
      </w:r>
      <w:proofErr w:type="gramEnd"/>
      <w:r w:rsidRPr="009D7388">
        <w:rPr>
          <w:szCs w:val="24"/>
        </w:rPr>
        <w:t xml:space="preserve"> с.п. Лыхма. Фактическая мощность киноустановок в Белоярском районе в 201</w:t>
      </w:r>
      <w:r w:rsidR="009D7388" w:rsidRPr="009D7388">
        <w:rPr>
          <w:szCs w:val="24"/>
        </w:rPr>
        <w:t>4</w:t>
      </w:r>
      <w:r w:rsidRPr="009D7388">
        <w:rPr>
          <w:szCs w:val="24"/>
        </w:rPr>
        <w:t xml:space="preserve"> году составила </w:t>
      </w:r>
      <w:r w:rsidR="009D7388" w:rsidRPr="009D7388">
        <w:rPr>
          <w:szCs w:val="24"/>
        </w:rPr>
        <w:t>900 мест</w:t>
      </w:r>
      <w:r w:rsidRPr="009D7388">
        <w:rPr>
          <w:szCs w:val="24"/>
        </w:rPr>
        <w:t>.</w:t>
      </w:r>
    </w:p>
    <w:p w:rsidR="0029298D" w:rsidRPr="009D7388" w:rsidRDefault="00E74E4D" w:rsidP="002161C5">
      <w:pPr>
        <w:ind w:firstLine="709"/>
        <w:jc w:val="both"/>
        <w:rPr>
          <w:szCs w:val="24"/>
        </w:rPr>
      </w:pPr>
      <w:r>
        <w:rPr>
          <w:szCs w:val="24"/>
        </w:rPr>
        <w:t>В Белоярском районе функционирует 10</w:t>
      </w:r>
      <w:r w:rsidR="0029298D" w:rsidRPr="009D7388">
        <w:rPr>
          <w:szCs w:val="24"/>
        </w:rPr>
        <w:t xml:space="preserve"> общедоступных </w:t>
      </w:r>
      <w:r w:rsidR="00E317BC">
        <w:rPr>
          <w:szCs w:val="24"/>
        </w:rPr>
        <w:t xml:space="preserve">библиотек </w:t>
      </w:r>
      <w:r w:rsidR="0029298D" w:rsidRPr="009D7388">
        <w:rPr>
          <w:szCs w:val="24"/>
        </w:rPr>
        <w:t>(3 библи</w:t>
      </w:r>
      <w:r w:rsidR="00337184">
        <w:rPr>
          <w:szCs w:val="24"/>
        </w:rPr>
        <w:t xml:space="preserve">отеки  в городе </w:t>
      </w:r>
      <w:proofErr w:type="gramStart"/>
      <w:r w:rsidR="00337184">
        <w:rPr>
          <w:szCs w:val="24"/>
        </w:rPr>
        <w:t>Белоярский</w:t>
      </w:r>
      <w:proofErr w:type="gramEnd"/>
      <w:r w:rsidR="0029298D" w:rsidRPr="009D7388">
        <w:rPr>
          <w:szCs w:val="24"/>
        </w:rPr>
        <w:t xml:space="preserve"> и 7 библиотек  в Белоярском районе) с общим библиотечным фондом 151,95 тыс. единиц и с численностью читателей 13 332 человека. </w:t>
      </w:r>
    </w:p>
    <w:p w:rsidR="0029298D" w:rsidRPr="00E74E4D" w:rsidRDefault="00E74E4D" w:rsidP="002161C5">
      <w:pPr>
        <w:ind w:firstLine="720"/>
        <w:jc w:val="both"/>
        <w:rPr>
          <w:szCs w:val="24"/>
        </w:rPr>
      </w:pPr>
      <w:r w:rsidRPr="00E74E4D">
        <w:rPr>
          <w:szCs w:val="24"/>
        </w:rPr>
        <w:t>В прогнозном 2015 году о</w:t>
      </w:r>
      <w:r w:rsidR="0029298D" w:rsidRPr="00E74E4D">
        <w:rPr>
          <w:szCs w:val="24"/>
        </w:rPr>
        <w:t xml:space="preserve">беспеченность общедоступными библиотеками </w:t>
      </w:r>
      <w:r w:rsidR="00432C71">
        <w:rPr>
          <w:szCs w:val="24"/>
        </w:rPr>
        <w:t xml:space="preserve">не изменится и </w:t>
      </w:r>
      <w:r w:rsidR="009D7388" w:rsidRPr="00E74E4D">
        <w:rPr>
          <w:szCs w:val="24"/>
        </w:rPr>
        <w:t xml:space="preserve">составит </w:t>
      </w:r>
      <w:r w:rsidRPr="00E74E4D">
        <w:rPr>
          <w:szCs w:val="24"/>
        </w:rPr>
        <w:t xml:space="preserve">95% от норматива, </w:t>
      </w:r>
      <w:r w:rsidR="0029298D" w:rsidRPr="00E74E4D">
        <w:rPr>
          <w:szCs w:val="24"/>
        </w:rPr>
        <w:t xml:space="preserve">учреждениями культурно - досугового типа </w:t>
      </w:r>
      <w:r w:rsidRPr="00E74E4D">
        <w:rPr>
          <w:szCs w:val="24"/>
        </w:rPr>
        <w:t>– 153% от норматива.</w:t>
      </w:r>
    </w:p>
    <w:p w:rsidR="0029298D" w:rsidRPr="009D7388" w:rsidRDefault="00337184" w:rsidP="002161C5">
      <w:pPr>
        <w:ind w:firstLine="709"/>
        <w:jc w:val="both"/>
        <w:rPr>
          <w:szCs w:val="24"/>
          <w:highlight w:val="yellow"/>
        </w:rPr>
      </w:pPr>
      <w:r>
        <w:rPr>
          <w:szCs w:val="24"/>
        </w:rPr>
        <w:t xml:space="preserve">В городе </w:t>
      </w:r>
      <w:proofErr w:type="gramStart"/>
      <w:r>
        <w:rPr>
          <w:szCs w:val="24"/>
        </w:rPr>
        <w:t>Белоярский</w:t>
      </w:r>
      <w:proofErr w:type="gramEnd"/>
      <w:r w:rsidR="0029298D" w:rsidRPr="009D7388">
        <w:rPr>
          <w:szCs w:val="24"/>
        </w:rPr>
        <w:t xml:space="preserve"> действует муниципальное автономное образовательное учреждение дополнительного образования детей в области культуры «Детская школа искусств г. Белоярский», </w:t>
      </w:r>
      <w:r w:rsidR="00CD3BBA" w:rsidRPr="00CD3BBA">
        <w:rPr>
          <w:szCs w:val="24"/>
        </w:rPr>
        <w:t xml:space="preserve">осуществляющее </w:t>
      </w:r>
      <w:r w:rsidR="00CD3BBA">
        <w:rPr>
          <w:szCs w:val="24"/>
        </w:rPr>
        <w:t>деятельность в 6 сельских поселе</w:t>
      </w:r>
      <w:r w:rsidR="00CD3BBA" w:rsidRPr="00CD3BBA">
        <w:rPr>
          <w:szCs w:val="24"/>
        </w:rPr>
        <w:t>ниях</w:t>
      </w:r>
      <w:r w:rsidR="0029298D" w:rsidRPr="00CD3BBA">
        <w:rPr>
          <w:szCs w:val="24"/>
        </w:rPr>
        <w:t xml:space="preserve">. Мощность МАОУ ДОД в области культуры «Детская школа искусств г. </w:t>
      </w:r>
      <w:proofErr w:type="gramStart"/>
      <w:r w:rsidR="0029298D" w:rsidRPr="00CD3BBA">
        <w:rPr>
          <w:szCs w:val="24"/>
        </w:rPr>
        <w:t>Белоярский</w:t>
      </w:r>
      <w:proofErr w:type="gramEnd"/>
      <w:r w:rsidR="0029298D" w:rsidRPr="009D7388">
        <w:rPr>
          <w:szCs w:val="24"/>
        </w:rPr>
        <w:t>» составляет 6</w:t>
      </w:r>
      <w:r w:rsidR="00A66342" w:rsidRPr="009D7388">
        <w:rPr>
          <w:szCs w:val="24"/>
        </w:rPr>
        <w:t>24</w:t>
      </w:r>
      <w:r w:rsidR="0029298D" w:rsidRPr="009D7388">
        <w:rPr>
          <w:szCs w:val="24"/>
        </w:rPr>
        <w:t xml:space="preserve"> м</w:t>
      </w:r>
      <w:r w:rsidR="0036029F" w:rsidRPr="009D7388">
        <w:rPr>
          <w:szCs w:val="24"/>
        </w:rPr>
        <w:t>еста (фактически занимается   4</w:t>
      </w:r>
      <w:r w:rsidR="00432C71">
        <w:rPr>
          <w:szCs w:val="24"/>
        </w:rPr>
        <w:t>45</w:t>
      </w:r>
      <w:r w:rsidR="0029298D" w:rsidRPr="009D7388">
        <w:rPr>
          <w:szCs w:val="24"/>
        </w:rPr>
        <w:t xml:space="preserve"> детей), из ни</w:t>
      </w:r>
      <w:r>
        <w:rPr>
          <w:szCs w:val="24"/>
        </w:rPr>
        <w:t>х 312 мест – в городе Белоярский</w:t>
      </w:r>
      <w:r w:rsidR="0029298D" w:rsidRPr="009D7388">
        <w:rPr>
          <w:szCs w:val="24"/>
        </w:rPr>
        <w:t xml:space="preserve">. </w:t>
      </w:r>
    </w:p>
    <w:p w:rsidR="0029298D" w:rsidRPr="009D7388" w:rsidRDefault="0029298D" w:rsidP="002161C5">
      <w:pPr>
        <w:ind w:firstLine="709"/>
        <w:jc w:val="both"/>
        <w:rPr>
          <w:szCs w:val="24"/>
        </w:rPr>
      </w:pPr>
      <w:r w:rsidRPr="009D7388">
        <w:rPr>
          <w:szCs w:val="24"/>
        </w:rPr>
        <w:t xml:space="preserve">На территории Белоярского района имеется два выставочных зала: муниципальное автономное учреждение культуры Белоярского района «Белоярский выставочный зал» и этнографический выставочный зал </w:t>
      </w:r>
      <w:proofErr w:type="gramStart"/>
      <w:r w:rsidRPr="009D7388">
        <w:rPr>
          <w:szCs w:val="24"/>
        </w:rPr>
        <w:t>в</w:t>
      </w:r>
      <w:proofErr w:type="gramEnd"/>
      <w:r w:rsidRPr="009D7388">
        <w:rPr>
          <w:szCs w:val="24"/>
        </w:rPr>
        <w:t xml:space="preserve"> с. Казым</w:t>
      </w:r>
      <w:r w:rsidR="00432C71">
        <w:rPr>
          <w:szCs w:val="24"/>
        </w:rPr>
        <w:t>,</w:t>
      </w:r>
      <w:r w:rsidRPr="009D7388">
        <w:rPr>
          <w:szCs w:val="24"/>
        </w:rPr>
        <w:t xml:space="preserve"> </w:t>
      </w:r>
      <w:proofErr w:type="gramStart"/>
      <w:r w:rsidRPr="009D7388">
        <w:rPr>
          <w:szCs w:val="24"/>
        </w:rPr>
        <w:t>с</w:t>
      </w:r>
      <w:proofErr w:type="gramEnd"/>
      <w:r w:rsidRPr="009D7388">
        <w:rPr>
          <w:szCs w:val="24"/>
        </w:rPr>
        <w:t xml:space="preserve"> числом предметов основного фонда – </w:t>
      </w:r>
      <w:r w:rsidR="00432C71">
        <w:rPr>
          <w:szCs w:val="24"/>
        </w:rPr>
        <w:t xml:space="preserve">      </w:t>
      </w:r>
      <w:r w:rsidRPr="009D7388">
        <w:rPr>
          <w:szCs w:val="24"/>
        </w:rPr>
        <w:t xml:space="preserve">3 </w:t>
      </w:r>
      <w:r w:rsidR="0036029F" w:rsidRPr="009D7388">
        <w:rPr>
          <w:szCs w:val="24"/>
        </w:rPr>
        <w:t>761</w:t>
      </w:r>
      <w:r w:rsidRPr="009D7388">
        <w:rPr>
          <w:szCs w:val="24"/>
        </w:rPr>
        <w:t xml:space="preserve"> единиц</w:t>
      </w:r>
      <w:r w:rsidR="0036029F" w:rsidRPr="009D7388">
        <w:rPr>
          <w:szCs w:val="24"/>
        </w:rPr>
        <w:t>а</w:t>
      </w:r>
      <w:r w:rsidRPr="009D7388">
        <w:rPr>
          <w:szCs w:val="24"/>
        </w:rPr>
        <w:t xml:space="preserve"> хранения. </w:t>
      </w:r>
    </w:p>
    <w:p w:rsidR="0029298D" w:rsidRDefault="0029298D" w:rsidP="002161C5">
      <w:pPr>
        <w:ind w:firstLine="709"/>
        <w:jc w:val="both"/>
        <w:rPr>
          <w:szCs w:val="24"/>
        </w:rPr>
      </w:pPr>
      <w:r w:rsidRPr="002C12AF">
        <w:rPr>
          <w:szCs w:val="24"/>
        </w:rPr>
        <w:t xml:space="preserve">В 2013 году в результате реконструкции этнографического музея под открытым небом в с. Казым </w:t>
      </w:r>
      <w:r w:rsidR="00082EE0">
        <w:rPr>
          <w:szCs w:val="24"/>
        </w:rPr>
        <w:t>выставлены</w:t>
      </w:r>
      <w:r w:rsidRPr="002C12AF">
        <w:rPr>
          <w:szCs w:val="24"/>
        </w:rPr>
        <w:t xml:space="preserve"> новые экспозиции: «Стойбище оленевода», «Стойбище охотника», «Стойбище рыбака» и другие. </w:t>
      </w:r>
    </w:p>
    <w:p w:rsidR="00432C71" w:rsidRDefault="00432C71" w:rsidP="00432C71">
      <w:pPr>
        <w:ind w:firstLine="708"/>
        <w:jc w:val="both"/>
        <w:rPr>
          <w:szCs w:val="24"/>
        </w:rPr>
      </w:pPr>
      <w:r w:rsidRPr="00106FFF">
        <w:rPr>
          <w:szCs w:val="24"/>
        </w:rPr>
        <w:t>В Белоярском выставочном зале окончены работы  по монтажу стационарных экспозиций «Верхний мир»</w:t>
      </w:r>
      <w:r>
        <w:rPr>
          <w:szCs w:val="24"/>
        </w:rPr>
        <w:t xml:space="preserve"> (2013 год)</w:t>
      </w:r>
      <w:r w:rsidRPr="00106FFF">
        <w:rPr>
          <w:szCs w:val="24"/>
        </w:rPr>
        <w:t>, «Средний мир»</w:t>
      </w:r>
      <w:r>
        <w:rPr>
          <w:szCs w:val="24"/>
        </w:rPr>
        <w:t xml:space="preserve"> (2014 год)</w:t>
      </w:r>
      <w:r w:rsidRPr="00106FFF">
        <w:rPr>
          <w:szCs w:val="24"/>
        </w:rPr>
        <w:t xml:space="preserve">, </w:t>
      </w:r>
      <w:r>
        <w:rPr>
          <w:szCs w:val="24"/>
        </w:rPr>
        <w:t xml:space="preserve">в 2015 году планируется монтаж экспозиции  </w:t>
      </w:r>
      <w:r w:rsidRPr="00106FFF">
        <w:rPr>
          <w:szCs w:val="24"/>
        </w:rPr>
        <w:t>«Подводный мир».</w:t>
      </w:r>
    </w:p>
    <w:p w:rsidR="0029298D" w:rsidRPr="002C12AF" w:rsidRDefault="0029298D" w:rsidP="002161C5">
      <w:pPr>
        <w:tabs>
          <w:tab w:val="left" w:pos="0"/>
        </w:tabs>
        <w:ind w:firstLine="720"/>
        <w:jc w:val="both"/>
        <w:rPr>
          <w:szCs w:val="24"/>
        </w:rPr>
      </w:pPr>
      <w:r w:rsidRPr="002C12AF">
        <w:rPr>
          <w:szCs w:val="24"/>
        </w:rPr>
        <w:lastRenderedPageBreak/>
        <w:t xml:space="preserve">В рамках реализации программы «Электронная Югра» во всех сельских поселениях Белоярского района установлены Центры общественного доступа. На базе </w:t>
      </w:r>
      <w:proofErr w:type="spellStart"/>
      <w:r w:rsidRPr="002C12AF">
        <w:rPr>
          <w:szCs w:val="24"/>
        </w:rPr>
        <w:t>ЦОДа</w:t>
      </w:r>
      <w:proofErr w:type="spellEnd"/>
      <w:r w:rsidRPr="002C12AF">
        <w:rPr>
          <w:szCs w:val="24"/>
        </w:rPr>
        <w:t xml:space="preserve"> Центральной районной библиотеки продолжает работать «Школа компьютерной грамотности для </w:t>
      </w:r>
      <w:proofErr w:type="gramStart"/>
      <w:r w:rsidRPr="002C12AF">
        <w:rPr>
          <w:szCs w:val="24"/>
        </w:rPr>
        <w:t>пожилых</w:t>
      </w:r>
      <w:proofErr w:type="gramEnd"/>
      <w:r w:rsidRPr="002C12AF">
        <w:rPr>
          <w:szCs w:val="24"/>
        </w:rPr>
        <w:t>».</w:t>
      </w:r>
    </w:p>
    <w:p w:rsidR="005F56C0" w:rsidRPr="002C12AF" w:rsidRDefault="005F56C0" w:rsidP="002161C5">
      <w:pPr>
        <w:tabs>
          <w:tab w:val="left" w:pos="0"/>
        </w:tabs>
        <w:ind w:firstLine="720"/>
        <w:jc w:val="both"/>
        <w:rPr>
          <w:szCs w:val="24"/>
        </w:rPr>
      </w:pPr>
    </w:p>
    <w:p w:rsidR="0029298D" w:rsidRPr="00AB366C" w:rsidRDefault="0029298D" w:rsidP="00AB366C">
      <w:pPr>
        <w:ind w:firstLine="709"/>
        <w:rPr>
          <w:b/>
          <w:i/>
          <w:szCs w:val="24"/>
        </w:rPr>
      </w:pPr>
      <w:r w:rsidRPr="00AB366C">
        <w:rPr>
          <w:b/>
          <w:i/>
          <w:szCs w:val="24"/>
        </w:rPr>
        <w:t>Физическая культура и спорт</w:t>
      </w:r>
    </w:p>
    <w:p w:rsidR="0029298D" w:rsidRPr="002C5149" w:rsidRDefault="0029298D" w:rsidP="002161C5">
      <w:pPr>
        <w:pStyle w:val="a8"/>
        <w:spacing w:after="0"/>
        <w:ind w:left="0" w:firstLine="720"/>
        <w:jc w:val="both"/>
        <w:rPr>
          <w:szCs w:val="24"/>
        </w:rPr>
      </w:pPr>
      <w:r w:rsidRPr="002C5149">
        <w:rPr>
          <w:szCs w:val="24"/>
        </w:rPr>
        <w:t xml:space="preserve">Основная цель муниципальной политики в области физической культуры и спорта – формирование здорового образа жизни населения, гармоничное воспитание здорового, физически крепкого поколения. </w:t>
      </w:r>
    </w:p>
    <w:p w:rsidR="0029298D" w:rsidRPr="00D93D53" w:rsidRDefault="0029298D" w:rsidP="002161C5">
      <w:pPr>
        <w:pStyle w:val="a8"/>
        <w:spacing w:after="0"/>
        <w:ind w:left="0" w:firstLine="720"/>
        <w:jc w:val="both"/>
        <w:rPr>
          <w:szCs w:val="24"/>
        </w:rPr>
      </w:pPr>
      <w:r w:rsidRPr="00D93D53">
        <w:rPr>
          <w:szCs w:val="24"/>
        </w:rPr>
        <w:t>В 2013 году на территории Белоярского района функционировали 97 спортивных объектов, единовременная пропускная способность которых составила 2 168 человек.</w:t>
      </w:r>
    </w:p>
    <w:p w:rsidR="0029298D" w:rsidRPr="002C5149" w:rsidRDefault="0029298D" w:rsidP="002161C5">
      <w:pPr>
        <w:ind w:firstLine="720"/>
        <w:jc w:val="both"/>
        <w:rPr>
          <w:szCs w:val="24"/>
        </w:rPr>
      </w:pPr>
      <w:r w:rsidRPr="002C5149">
        <w:rPr>
          <w:szCs w:val="24"/>
        </w:rPr>
        <w:t>В 2013 году численность активно занимающихся физической культурой и спортом в Белоярском районе составила 10 455 человек (35 % от численности населения Белоярского района).</w:t>
      </w:r>
    </w:p>
    <w:p w:rsidR="0029298D" w:rsidRPr="00D93D53" w:rsidRDefault="0029298D" w:rsidP="002161C5">
      <w:pPr>
        <w:pStyle w:val="a8"/>
        <w:spacing w:after="0"/>
        <w:ind w:left="0" w:firstLine="720"/>
        <w:jc w:val="both"/>
        <w:rPr>
          <w:szCs w:val="24"/>
        </w:rPr>
      </w:pPr>
      <w:r w:rsidRPr="00D93D53">
        <w:rPr>
          <w:szCs w:val="24"/>
        </w:rPr>
        <w:t xml:space="preserve">Обеспеченность населения Белоярского района в 2013 году плоскостными спортивными сооружениями составила 44,6% от норматива,  плавательными бассейнами – 32,9% от норматива, утвержденного распоряжением Правительства РФ от 3 июля 1996 года № 1063-р «О социальных нормативах и нормах». </w:t>
      </w:r>
    </w:p>
    <w:p w:rsidR="005F56C0" w:rsidRPr="00F1088B" w:rsidRDefault="005F56C0" w:rsidP="002161C5">
      <w:pPr>
        <w:pStyle w:val="a8"/>
        <w:spacing w:after="0"/>
        <w:ind w:left="0" w:firstLine="720"/>
        <w:jc w:val="right"/>
        <w:rPr>
          <w:color w:val="FF0000"/>
          <w:szCs w:val="24"/>
        </w:rPr>
      </w:pPr>
    </w:p>
    <w:p w:rsidR="0029298D" w:rsidRPr="0074073E" w:rsidRDefault="0029298D" w:rsidP="002161C5">
      <w:pPr>
        <w:pStyle w:val="a8"/>
        <w:spacing w:after="0"/>
        <w:ind w:left="0" w:firstLine="720"/>
        <w:jc w:val="right"/>
        <w:rPr>
          <w:szCs w:val="24"/>
        </w:rPr>
      </w:pPr>
      <w:r w:rsidRPr="0074073E">
        <w:rPr>
          <w:szCs w:val="24"/>
        </w:rPr>
        <w:t>Диаграмма</w:t>
      </w:r>
      <w:r w:rsidR="00925388" w:rsidRPr="0074073E">
        <w:rPr>
          <w:szCs w:val="24"/>
        </w:rPr>
        <w:t xml:space="preserve"> 21</w:t>
      </w:r>
    </w:p>
    <w:p w:rsidR="0029298D" w:rsidRPr="00F1088B" w:rsidRDefault="00D86261" w:rsidP="002161C5">
      <w:pPr>
        <w:jc w:val="center"/>
        <w:rPr>
          <w:color w:val="FF0000"/>
          <w:szCs w:val="24"/>
        </w:rPr>
      </w:pPr>
      <w:r w:rsidRPr="00F1088B">
        <w:rPr>
          <w:noProof/>
          <w:color w:val="FF0000"/>
          <w:szCs w:val="24"/>
        </w:rPr>
        <w:drawing>
          <wp:inline distT="0" distB="0" distL="0" distR="0">
            <wp:extent cx="5943600" cy="2943225"/>
            <wp:effectExtent l="0" t="0" r="0" b="0"/>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9298D" w:rsidRPr="002C5149" w:rsidRDefault="0029298D" w:rsidP="002161C5">
      <w:pPr>
        <w:ind w:firstLine="720"/>
        <w:jc w:val="both"/>
        <w:rPr>
          <w:szCs w:val="24"/>
        </w:rPr>
      </w:pPr>
      <w:r w:rsidRPr="002C5149">
        <w:rPr>
          <w:szCs w:val="24"/>
        </w:rPr>
        <w:t>В 201</w:t>
      </w:r>
      <w:r w:rsidR="00CD3BBA">
        <w:rPr>
          <w:szCs w:val="24"/>
        </w:rPr>
        <w:t>4</w:t>
      </w:r>
      <w:r w:rsidRPr="002C5149">
        <w:rPr>
          <w:szCs w:val="24"/>
        </w:rPr>
        <w:t xml:space="preserve"> году </w:t>
      </w:r>
      <w:r w:rsidR="00282BA6" w:rsidRPr="002C5149">
        <w:rPr>
          <w:szCs w:val="24"/>
        </w:rPr>
        <w:t xml:space="preserve">на территории Белоярского района </w:t>
      </w:r>
      <w:r w:rsidR="002F163E">
        <w:rPr>
          <w:szCs w:val="24"/>
        </w:rPr>
        <w:t xml:space="preserve"> </w:t>
      </w:r>
      <w:r w:rsidR="00282BA6" w:rsidRPr="002C5149">
        <w:rPr>
          <w:szCs w:val="24"/>
        </w:rPr>
        <w:t xml:space="preserve">введены в эксплуатацию </w:t>
      </w:r>
      <w:r w:rsidR="00CD3BBA">
        <w:rPr>
          <w:szCs w:val="24"/>
        </w:rPr>
        <w:t>4</w:t>
      </w:r>
      <w:r w:rsidR="00282BA6" w:rsidRPr="002C5149">
        <w:rPr>
          <w:szCs w:val="24"/>
        </w:rPr>
        <w:t xml:space="preserve"> новых спортивных объект</w:t>
      </w:r>
      <w:r w:rsidR="00CD3BBA">
        <w:rPr>
          <w:szCs w:val="24"/>
        </w:rPr>
        <w:t>а</w:t>
      </w:r>
      <w:r w:rsidR="00134186">
        <w:rPr>
          <w:szCs w:val="24"/>
        </w:rPr>
        <w:t xml:space="preserve"> </w:t>
      </w:r>
      <w:r w:rsidR="00B95D01" w:rsidRPr="002C5149">
        <w:rPr>
          <w:szCs w:val="24"/>
        </w:rPr>
        <w:t xml:space="preserve">единовременной </w:t>
      </w:r>
      <w:r w:rsidR="00282BA6" w:rsidRPr="002C5149">
        <w:rPr>
          <w:szCs w:val="24"/>
        </w:rPr>
        <w:t xml:space="preserve">пропускной способностью </w:t>
      </w:r>
      <w:r w:rsidR="00CD3BBA">
        <w:rPr>
          <w:szCs w:val="24"/>
        </w:rPr>
        <w:t>24</w:t>
      </w:r>
      <w:r w:rsidR="00282BA6" w:rsidRPr="002C5149">
        <w:rPr>
          <w:szCs w:val="24"/>
        </w:rPr>
        <w:t xml:space="preserve"> человек</w:t>
      </w:r>
      <w:r w:rsidR="002F163E">
        <w:rPr>
          <w:szCs w:val="24"/>
        </w:rPr>
        <w:t>а (турниковые комплексы в г. Белоярский, сельских поселениях Полноват, Верхнеказымский и Сорум)</w:t>
      </w:r>
      <w:r w:rsidR="00282BA6" w:rsidRPr="002C5149">
        <w:rPr>
          <w:szCs w:val="24"/>
        </w:rPr>
        <w:t>.</w:t>
      </w:r>
    </w:p>
    <w:p w:rsidR="0029298D" w:rsidRDefault="0029298D" w:rsidP="002161C5">
      <w:pPr>
        <w:ind w:firstLine="709"/>
        <w:jc w:val="both"/>
        <w:outlineLvl w:val="0"/>
        <w:rPr>
          <w:szCs w:val="24"/>
        </w:rPr>
      </w:pPr>
      <w:r w:rsidRPr="002F163E">
        <w:rPr>
          <w:szCs w:val="24"/>
        </w:rPr>
        <w:t xml:space="preserve">В целях увеличения единовременной пропускной способности объектов физической культуры и спорта в 2015 году планируется ввод </w:t>
      </w:r>
      <w:r w:rsidR="00AD509F">
        <w:rPr>
          <w:szCs w:val="24"/>
        </w:rPr>
        <w:t>площадки для занятий экстре</w:t>
      </w:r>
      <w:r w:rsidR="00D86261" w:rsidRPr="002F163E">
        <w:rPr>
          <w:szCs w:val="24"/>
        </w:rPr>
        <w:t>мальными видами спорта в  г. Белоярский единовременной пропускной способностью 8 человек</w:t>
      </w:r>
      <w:r w:rsidRPr="002F163E">
        <w:rPr>
          <w:szCs w:val="24"/>
        </w:rPr>
        <w:t>, в 201</w:t>
      </w:r>
      <w:r w:rsidR="002C5149" w:rsidRPr="002F163E">
        <w:rPr>
          <w:szCs w:val="24"/>
        </w:rPr>
        <w:t>6</w:t>
      </w:r>
      <w:r w:rsidRPr="002F163E">
        <w:rPr>
          <w:szCs w:val="24"/>
        </w:rPr>
        <w:t xml:space="preserve"> году планируется ввод объекта «</w:t>
      </w:r>
      <w:r w:rsidR="00D86261" w:rsidRPr="002F163E">
        <w:rPr>
          <w:szCs w:val="24"/>
        </w:rPr>
        <w:t>Плавательный бассейн</w:t>
      </w:r>
      <w:r w:rsidR="00DC4465" w:rsidRPr="002F163E">
        <w:rPr>
          <w:szCs w:val="24"/>
        </w:rPr>
        <w:t xml:space="preserve"> с</w:t>
      </w:r>
      <w:r w:rsidRPr="002F163E">
        <w:rPr>
          <w:szCs w:val="24"/>
        </w:rPr>
        <w:t xml:space="preserve"> универсальным игровы</w:t>
      </w:r>
      <w:r w:rsidR="00D86261" w:rsidRPr="002F163E">
        <w:rPr>
          <w:szCs w:val="24"/>
        </w:rPr>
        <w:t>м залом</w:t>
      </w:r>
      <w:r w:rsidRPr="002F163E">
        <w:rPr>
          <w:szCs w:val="24"/>
        </w:rPr>
        <w:t xml:space="preserve">» в </w:t>
      </w:r>
      <w:r w:rsidR="00D86261" w:rsidRPr="002F163E">
        <w:rPr>
          <w:szCs w:val="24"/>
        </w:rPr>
        <w:t>г. Белоярский</w:t>
      </w:r>
      <w:r w:rsidRPr="002F163E">
        <w:rPr>
          <w:szCs w:val="24"/>
        </w:rPr>
        <w:t xml:space="preserve">. </w:t>
      </w:r>
    </w:p>
    <w:p w:rsidR="002F163E" w:rsidRPr="002F163E" w:rsidRDefault="002F163E" w:rsidP="002161C5">
      <w:pPr>
        <w:ind w:firstLine="709"/>
        <w:jc w:val="both"/>
        <w:outlineLvl w:val="0"/>
        <w:rPr>
          <w:szCs w:val="24"/>
        </w:rPr>
      </w:pPr>
      <w:r>
        <w:rPr>
          <w:szCs w:val="24"/>
        </w:rPr>
        <w:t>По прогнозу в 2017 году на территории Белоярского района будут функционировать 104 объекта физической культуры и спорта единовременной пропускной способностью 2 263 человека.</w:t>
      </w:r>
    </w:p>
    <w:p w:rsidR="0029298D" w:rsidRPr="002C5149" w:rsidRDefault="0029298D" w:rsidP="002161C5">
      <w:pPr>
        <w:ind w:firstLine="720"/>
        <w:jc w:val="both"/>
        <w:rPr>
          <w:szCs w:val="24"/>
        </w:rPr>
      </w:pPr>
      <w:proofErr w:type="gramStart"/>
      <w:r w:rsidRPr="002C5149">
        <w:rPr>
          <w:szCs w:val="24"/>
        </w:rPr>
        <w:t>В Белоярском районе действуют 3 плавательных бассейна с общей площадью зеркала воды 73</w:t>
      </w:r>
      <w:r w:rsidR="00740F04">
        <w:rPr>
          <w:szCs w:val="24"/>
        </w:rPr>
        <w:t>4</w:t>
      </w:r>
      <w:r w:rsidRPr="002C5149">
        <w:rPr>
          <w:szCs w:val="24"/>
        </w:rPr>
        <w:t xml:space="preserve"> кв.м. (г. Белоярский, с.п.</w:t>
      </w:r>
      <w:proofErr w:type="gramEnd"/>
      <w:r w:rsidRPr="002C5149">
        <w:rPr>
          <w:szCs w:val="24"/>
        </w:rPr>
        <w:t xml:space="preserve"> Лыхма, с.п. Сорум).</w:t>
      </w:r>
    </w:p>
    <w:p w:rsidR="00AB366C" w:rsidRPr="00AB366C" w:rsidRDefault="0029298D" w:rsidP="00AB366C">
      <w:pPr>
        <w:ind w:firstLine="708"/>
        <w:jc w:val="both"/>
        <w:rPr>
          <w:szCs w:val="24"/>
        </w:rPr>
      </w:pPr>
      <w:r w:rsidRPr="002C5149">
        <w:rPr>
          <w:szCs w:val="24"/>
        </w:rPr>
        <w:t xml:space="preserve">В летний период </w:t>
      </w:r>
      <w:r w:rsidR="00C435B3" w:rsidRPr="002C5149">
        <w:rPr>
          <w:szCs w:val="24"/>
        </w:rPr>
        <w:t xml:space="preserve">2014 года в спортивных мероприятиях </w:t>
      </w:r>
      <w:r w:rsidR="002C5149" w:rsidRPr="002C5149">
        <w:rPr>
          <w:szCs w:val="24"/>
        </w:rPr>
        <w:t xml:space="preserve">были задействованы  </w:t>
      </w:r>
      <w:r w:rsidR="00C435B3" w:rsidRPr="002C5149">
        <w:rPr>
          <w:szCs w:val="24"/>
        </w:rPr>
        <w:t>более 2 300 ребят</w:t>
      </w:r>
      <w:r w:rsidRPr="002C5149">
        <w:rPr>
          <w:szCs w:val="24"/>
        </w:rPr>
        <w:t>.</w:t>
      </w:r>
    </w:p>
    <w:p w:rsidR="0029298D" w:rsidRPr="00AB366C" w:rsidRDefault="0029298D" w:rsidP="00AB366C">
      <w:pPr>
        <w:ind w:firstLine="709"/>
        <w:rPr>
          <w:b/>
          <w:i/>
          <w:szCs w:val="24"/>
        </w:rPr>
      </w:pPr>
      <w:r w:rsidRPr="00AB366C">
        <w:rPr>
          <w:b/>
          <w:i/>
          <w:szCs w:val="24"/>
        </w:rPr>
        <w:lastRenderedPageBreak/>
        <w:t xml:space="preserve">Социальная защита населения </w:t>
      </w:r>
    </w:p>
    <w:p w:rsidR="0029298D" w:rsidRPr="00A64815" w:rsidRDefault="0029298D" w:rsidP="002161C5">
      <w:pPr>
        <w:ind w:firstLine="709"/>
        <w:jc w:val="both"/>
        <w:rPr>
          <w:szCs w:val="24"/>
        </w:rPr>
      </w:pPr>
      <w:r w:rsidRPr="00A64815">
        <w:rPr>
          <w:szCs w:val="24"/>
        </w:rPr>
        <w:t xml:space="preserve">Деятельность учреждений социальной защиты населения направлена на своевременную и полную реализацию социальных льгот и гарантий, установленных федеральным и окружным законодательствами, обеспечение адресной социальной помощи населению и улучшение положения жизни малообеспеченных граждан. </w:t>
      </w:r>
    </w:p>
    <w:p w:rsidR="0029298D" w:rsidRPr="00A64815" w:rsidRDefault="0029298D" w:rsidP="002161C5">
      <w:pPr>
        <w:ind w:firstLine="709"/>
        <w:jc w:val="both"/>
        <w:rPr>
          <w:b/>
          <w:szCs w:val="24"/>
        </w:rPr>
      </w:pPr>
      <w:r w:rsidRPr="00A64815">
        <w:rPr>
          <w:szCs w:val="24"/>
        </w:rPr>
        <w:t xml:space="preserve">С 1 октября 2013 года в структуре социальной защиты населения произошли изменения: бюджетное учреждение Ханты-Мансийского автономного округа – Югры «Центр социальной помощи семье и детям «Горизонт» реорганизовано путем присоединения к бюджетному учреждению Ханты-Мансийского автономного округа – Югры «Комплексный центр социального обслуживания населения «Милосердие».   </w:t>
      </w:r>
    </w:p>
    <w:p w:rsidR="00DC4465" w:rsidRPr="00A64815" w:rsidRDefault="0029298D" w:rsidP="002161C5">
      <w:pPr>
        <w:ind w:firstLine="720"/>
        <w:jc w:val="both"/>
        <w:rPr>
          <w:szCs w:val="24"/>
        </w:rPr>
      </w:pPr>
      <w:r w:rsidRPr="00A64815">
        <w:rPr>
          <w:szCs w:val="24"/>
        </w:rPr>
        <w:t>В связи с реорганизацией в 2013 году количество оказанных услуг                             БУ «Комплексный центр социального обслуживания населения «Милосердие» увеличилось на 8% по сравнению с прошлым годом и составило 728 163 услуги, на 12% увеличилось количество обслуж</w:t>
      </w:r>
      <w:r w:rsidR="00C435B3" w:rsidRPr="00A64815">
        <w:rPr>
          <w:szCs w:val="24"/>
        </w:rPr>
        <w:t>енных</w:t>
      </w:r>
      <w:r w:rsidRPr="00A64815">
        <w:rPr>
          <w:szCs w:val="24"/>
        </w:rPr>
        <w:t xml:space="preserve"> (3 145 человек).</w:t>
      </w:r>
      <w:r w:rsidR="00A64815" w:rsidRPr="00A64815">
        <w:rPr>
          <w:szCs w:val="24"/>
        </w:rPr>
        <w:t xml:space="preserve"> В прогнозные 2015 – 2017 годы ожидается увеличение количества обслуж</w:t>
      </w:r>
      <w:r w:rsidR="00FF1544">
        <w:rPr>
          <w:szCs w:val="24"/>
        </w:rPr>
        <w:t>енных граждан до 4 500 человек.</w:t>
      </w:r>
    </w:p>
    <w:p w:rsidR="005F56C0" w:rsidRDefault="005F56C0" w:rsidP="002161C5">
      <w:pPr>
        <w:ind w:left="-567" w:firstLine="425"/>
        <w:jc w:val="center"/>
        <w:rPr>
          <w:b/>
          <w:color w:val="FF0000"/>
          <w:szCs w:val="24"/>
        </w:rPr>
      </w:pPr>
    </w:p>
    <w:p w:rsidR="00AB366C" w:rsidRPr="00F1088B" w:rsidRDefault="00AB366C" w:rsidP="002161C5">
      <w:pPr>
        <w:ind w:left="-567" w:firstLine="425"/>
        <w:jc w:val="center"/>
        <w:rPr>
          <w:b/>
          <w:color w:val="FF0000"/>
          <w:szCs w:val="24"/>
        </w:rPr>
      </w:pPr>
    </w:p>
    <w:p w:rsidR="0016120E" w:rsidRPr="00B90D6F" w:rsidRDefault="0016120E" w:rsidP="002161C5">
      <w:pPr>
        <w:ind w:left="-567" w:firstLine="425"/>
        <w:jc w:val="center"/>
        <w:rPr>
          <w:b/>
          <w:szCs w:val="24"/>
        </w:rPr>
      </w:pPr>
      <w:r w:rsidRPr="00B90D6F">
        <w:rPr>
          <w:b/>
          <w:szCs w:val="24"/>
        </w:rPr>
        <w:t>Финансы</w:t>
      </w:r>
    </w:p>
    <w:p w:rsidR="0016120E" w:rsidRPr="00F1088B" w:rsidRDefault="0016120E" w:rsidP="002161C5">
      <w:pPr>
        <w:ind w:left="-567" w:firstLine="425"/>
        <w:jc w:val="center"/>
        <w:rPr>
          <w:b/>
          <w:color w:val="FF0000"/>
          <w:szCs w:val="24"/>
        </w:rPr>
      </w:pPr>
    </w:p>
    <w:p w:rsidR="0016120E" w:rsidRPr="00B90D6F" w:rsidRDefault="0016120E" w:rsidP="00C37F20">
      <w:pPr>
        <w:ind w:firstLine="708"/>
        <w:jc w:val="both"/>
        <w:rPr>
          <w:szCs w:val="24"/>
        </w:rPr>
      </w:pPr>
      <w:r w:rsidRPr="00B90D6F">
        <w:rPr>
          <w:szCs w:val="24"/>
        </w:rPr>
        <w:t>При формировании проекта консолидированного бюджета Белоярского района на 2015 год и плановый период 2016 и 2017 годов предусмотрен  следующий индекс инфляции:2015 год – 5,0%; 2016 год – 4,5%; 2017 год – 4,3 %,  который соответствует целевому прогнозу Минэкономразвития России.</w:t>
      </w:r>
    </w:p>
    <w:p w:rsidR="0016120E" w:rsidRPr="00B90D6F" w:rsidRDefault="005268DD" w:rsidP="002161C5">
      <w:pPr>
        <w:ind w:firstLine="708"/>
        <w:jc w:val="both"/>
        <w:rPr>
          <w:szCs w:val="24"/>
        </w:rPr>
      </w:pPr>
      <w:hyperlink r:id="rId28" w:tgtFrame="_top" w:history="1">
        <w:r w:rsidR="0016120E" w:rsidRPr="00B90D6F">
          <w:rPr>
            <w:rStyle w:val="ae"/>
            <w:color w:val="auto"/>
            <w:u w:val="none"/>
          </w:rPr>
          <w:t xml:space="preserve">Доходная часть </w:t>
        </w:r>
        <w:r w:rsidR="0016120E" w:rsidRPr="00B90D6F">
          <w:rPr>
            <w:rStyle w:val="ae"/>
            <w:b w:val="0"/>
            <w:color w:val="auto"/>
            <w:u w:val="none"/>
          </w:rPr>
          <w:t>консолидированного бюджета</w:t>
        </w:r>
      </w:hyperlink>
      <w:r w:rsidR="00C37F20">
        <w:t xml:space="preserve"> </w:t>
      </w:r>
      <w:r w:rsidR="0016120E" w:rsidRPr="00B90D6F">
        <w:rPr>
          <w:szCs w:val="24"/>
        </w:rPr>
        <w:t xml:space="preserve">Белоярского района за                              2013 год и  составила </w:t>
      </w:r>
      <w:r w:rsidR="0016120E" w:rsidRPr="00B90D6F">
        <w:rPr>
          <w:bCs/>
          <w:szCs w:val="24"/>
        </w:rPr>
        <w:t xml:space="preserve">3 801,1 млн. </w:t>
      </w:r>
      <w:r w:rsidR="0016120E" w:rsidRPr="00B90D6F">
        <w:rPr>
          <w:szCs w:val="24"/>
        </w:rPr>
        <w:t>рублей. По оценки 2014 года доходная часть конс</w:t>
      </w:r>
      <w:r w:rsidR="00DE0D69" w:rsidRPr="00B90D6F">
        <w:rPr>
          <w:szCs w:val="24"/>
        </w:rPr>
        <w:t xml:space="preserve">олидированного бюджета составит </w:t>
      </w:r>
      <w:r w:rsidR="00B90D6F">
        <w:rPr>
          <w:szCs w:val="24"/>
        </w:rPr>
        <w:t>3012,5</w:t>
      </w:r>
      <w:r w:rsidR="0016120E" w:rsidRPr="00B90D6F">
        <w:rPr>
          <w:szCs w:val="24"/>
        </w:rPr>
        <w:t xml:space="preserve"> млн. руб.</w:t>
      </w:r>
      <w:r w:rsidR="00C37F20">
        <w:rPr>
          <w:szCs w:val="24"/>
        </w:rPr>
        <w:t xml:space="preserve"> </w:t>
      </w:r>
      <w:r w:rsidR="0016120E" w:rsidRPr="00B90D6F">
        <w:rPr>
          <w:szCs w:val="24"/>
        </w:rPr>
        <w:t>В прогнозном периоде 2015-2017 годов доходы имеют тенденцию к стабилизации и составят соответственно 2015 год- 2</w:t>
      </w:r>
      <w:r w:rsidR="00B90D6F">
        <w:rPr>
          <w:szCs w:val="24"/>
        </w:rPr>
        <w:t> </w:t>
      </w:r>
      <w:r w:rsidR="0016120E" w:rsidRPr="00B90D6F">
        <w:rPr>
          <w:szCs w:val="24"/>
        </w:rPr>
        <w:t>16</w:t>
      </w:r>
      <w:r w:rsidR="00B90D6F">
        <w:rPr>
          <w:szCs w:val="24"/>
        </w:rPr>
        <w:t>9,9</w:t>
      </w:r>
      <w:r w:rsidR="0016120E" w:rsidRPr="00B90D6F">
        <w:rPr>
          <w:szCs w:val="24"/>
        </w:rPr>
        <w:t xml:space="preserve"> млн. руб., 2016 год</w:t>
      </w:r>
      <w:r w:rsidR="00DE0D69" w:rsidRPr="00B90D6F">
        <w:rPr>
          <w:szCs w:val="24"/>
        </w:rPr>
        <w:t xml:space="preserve"> – </w:t>
      </w:r>
      <w:r w:rsidR="0016120E" w:rsidRPr="00B90D6F">
        <w:rPr>
          <w:szCs w:val="24"/>
        </w:rPr>
        <w:t>2</w:t>
      </w:r>
      <w:r w:rsidR="00B90D6F">
        <w:rPr>
          <w:szCs w:val="24"/>
        </w:rPr>
        <w:t> 172,7</w:t>
      </w:r>
      <w:r w:rsidR="0016120E" w:rsidRPr="00B90D6F">
        <w:rPr>
          <w:szCs w:val="24"/>
        </w:rPr>
        <w:t xml:space="preserve"> млн. руб., 2017 год</w:t>
      </w:r>
      <w:r w:rsidR="00DE0D69" w:rsidRPr="00B90D6F">
        <w:rPr>
          <w:szCs w:val="24"/>
        </w:rPr>
        <w:t xml:space="preserve"> – </w:t>
      </w:r>
      <w:r w:rsidR="00B90D6F">
        <w:rPr>
          <w:szCs w:val="24"/>
        </w:rPr>
        <w:t>2196,7</w:t>
      </w:r>
      <w:r w:rsidR="0016120E" w:rsidRPr="00B90D6F">
        <w:rPr>
          <w:szCs w:val="24"/>
        </w:rPr>
        <w:t xml:space="preserve"> млн. руб.</w:t>
      </w:r>
    </w:p>
    <w:p w:rsidR="0016120E" w:rsidRPr="00B90D6F" w:rsidRDefault="0016120E" w:rsidP="002161C5">
      <w:pPr>
        <w:numPr>
          <w:ilvl w:val="12"/>
          <w:numId w:val="0"/>
        </w:numPr>
        <w:ind w:firstLine="709"/>
        <w:jc w:val="both"/>
        <w:rPr>
          <w:szCs w:val="24"/>
        </w:rPr>
      </w:pPr>
      <w:r w:rsidRPr="00B90D6F">
        <w:rPr>
          <w:szCs w:val="24"/>
        </w:rPr>
        <w:t xml:space="preserve">Доходы, поступающие в </w:t>
      </w:r>
      <w:hyperlink r:id="rId29" w:tgtFrame="_top" w:history="1">
        <w:r w:rsidRPr="00B90D6F">
          <w:rPr>
            <w:rStyle w:val="ae"/>
            <w:b w:val="0"/>
            <w:color w:val="auto"/>
            <w:u w:val="none"/>
          </w:rPr>
          <w:t>консолидированный бюджет</w:t>
        </w:r>
      </w:hyperlink>
      <w:r w:rsidR="00C37F20">
        <w:t xml:space="preserve"> </w:t>
      </w:r>
      <w:r w:rsidRPr="00B90D6F">
        <w:rPr>
          <w:szCs w:val="24"/>
        </w:rPr>
        <w:t xml:space="preserve">Белоярского района в 2014 году, распределятся следующим образом: </w:t>
      </w:r>
      <w:r w:rsidR="00B90D6F">
        <w:rPr>
          <w:szCs w:val="24"/>
        </w:rPr>
        <w:t>25</w:t>
      </w:r>
      <w:r w:rsidRPr="00B90D6F">
        <w:rPr>
          <w:szCs w:val="24"/>
        </w:rPr>
        <w:t xml:space="preserve"> % составляют налоговые доходы, </w:t>
      </w:r>
      <w:r w:rsidR="00B90D6F">
        <w:rPr>
          <w:szCs w:val="24"/>
        </w:rPr>
        <w:t>7,4</w:t>
      </w:r>
      <w:r w:rsidRPr="00B90D6F">
        <w:rPr>
          <w:szCs w:val="24"/>
        </w:rPr>
        <w:t xml:space="preserve"> % - неналоговые </w:t>
      </w:r>
      <w:r w:rsidR="00B90D6F">
        <w:rPr>
          <w:szCs w:val="24"/>
        </w:rPr>
        <w:t>67,6</w:t>
      </w:r>
      <w:r w:rsidRPr="00B90D6F">
        <w:rPr>
          <w:szCs w:val="24"/>
        </w:rPr>
        <w:t xml:space="preserve">% - безвозмездные поступления. </w:t>
      </w:r>
    </w:p>
    <w:p w:rsidR="005F56C0" w:rsidRPr="00F1088B" w:rsidRDefault="005F56C0" w:rsidP="002161C5">
      <w:pPr>
        <w:numPr>
          <w:ilvl w:val="12"/>
          <w:numId w:val="0"/>
        </w:numPr>
        <w:ind w:firstLine="709"/>
        <w:jc w:val="right"/>
        <w:rPr>
          <w:color w:val="FF0000"/>
          <w:szCs w:val="24"/>
        </w:rPr>
      </w:pPr>
    </w:p>
    <w:p w:rsidR="0016120E" w:rsidRPr="00B90D6F" w:rsidRDefault="0016120E" w:rsidP="002161C5">
      <w:pPr>
        <w:numPr>
          <w:ilvl w:val="12"/>
          <w:numId w:val="0"/>
        </w:numPr>
        <w:ind w:firstLine="709"/>
        <w:jc w:val="right"/>
        <w:rPr>
          <w:szCs w:val="24"/>
        </w:rPr>
      </w:pPr>
      <w:r w:rsidRPr="00B90D6F">
        <w:rPr>
          <w:szCs w:val="24"/>
        </w:rPr>
        <w:t xml:space="preserve">Диаграмма </w:t>
      </w:r>
      <w:r w:rsidR="00925388" w:rsidRPr="00B90D6F">
        <w:rPr>
          <w:szCs w:val="24"/>
        </w:rPr>
        <w:t>22</w:t>
      </w:r>
    </w:p>
    <w:p w:rsidR="00A31F23" w:rsidRPr="00F1088B" w:rsidRDefault="00A31F23" w:rsidP="002161C5">
      <w:pPr>
        <w:numPr>
          <w:ilvl w:val="12"/>
          <w:numId w:val="0"/>
        </w:numPr>
        <w:ind w:firstLine="709"/>
        <w:jc w:val="both"/>
        <w:rPr>
          <w:color w:val="FF0000"/>
          <w:szCs w:val="24"/>
        </w:rPr>
      </w:pPr>
    </w:p>
    <w:p w:rsidR="003B04FD" w:rsidRDefault="003B04FD" w:rsidP="002161C5">
      <w:pPr>
        <w:ind w:firstLine="708"/>
        <w:jc w:val="both"/>
        <w:rPr>
          <w:color w:val="FF0000"/>
          <w:szCs w:val="24"/>
        </w:rPr>
      </w:pPr>
      <w:r>
        <w:rPr>
          <w:noProof/>
        </w:rPr>
        <w:drawing>
          <wp:inline distT="0" distB="0" distL="0" distR="0">
            <wp:extent cx="5305425" cy="28956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65889" w:rsidRPr="0048072E" w:rsidRDefault="00165889" w:rsidP="002161C5">
      <w:pPr>
        <w:ind w:firstLine="708"/>
        <w:jc w:val="both"/>
        <w:rPr>
          <w:szCs w:val="24"/>
        </w:rPr>
      </w:pPr>
      <w:r w:rsidRPr="0048072E">
        <w:rPr>
          <w:szCs w:val="24"/>
        </w:rPr>
        <w:t xml:space="preserve">Сумма </w:t>
      </w:r>
      <w:r w:rsidRPr="0048072E">
        <w:rPr>
          <w:b/>
          <w:szCs w:val="24"/>
        </w:rPr>
        <w:t>налоговых доходов</w:t>
      </w:r>
      <w:r w:rsidRPr="0048072E">
        <w:rPr>
          <w:szCs w:val="24"/>
        </w:rPr>
        <w:t xml:space="preserve">, поступивших в консолидированный бюджет Белоярского района за 2013 год, составила  </w:t>
      </w:r>
      <w:r w:rsidRPr="0048072E">
        <w:rPr>
          <w:bCs/>
          <w:szCs w:val="24"/>
        </w:rPr>
        <w:t xml:space="preserve">899,4 млн. </w:t>
      </w:r>
      <w:r w:rsidRPr="0048072E">
        <w:rPr>
          <w:szCs w:val="24"/>
        </w:rPr>
        <w:t xml:space="preserve">рублей. Основным доходным </w:t>
      </w:r>
      <w:r w:rsidRPr="0048072E">
        <w:rPr>
          <w:szCs w:val="24"/>
        </w:rPr>
        <w:lastRenderedPageBreak/>
        <w:t xml:space="preserve">источником в общей структуре налоговых доходов консолидированного бюджета Белоярского района является налог на доходы физических лиц (88,1%). </w:t>
      </w:r>
    </w:p>
    <w:p w:rsidR="00165889" w:rsidRPr="0048072E" w:rsidRDefault="00165889" w:rsidP="002161C5">
      <w:pPr>
        <w:ind w:firstLine="708"/>
        <w:jc w:val="both"/>
        <w:rPr>
          <w:szCs w:val="24"/>
        </w:rPr>
      </w:pPr>
      <w:r w:rsidRPr="0048072E">
        <w:rPr>
          <w:szCs w:val="24"/>
        </w:rPr>
        <w:t>Поступление налога на доходы физических лиц в 2014 году ожидается в объеме 6</w:t>
      </w:r>
      <w:r w:rsidR="0048072E">
        <w:rPr>
          <w:szCs w:val="24"/>
        </w:rPr>
        <w:t>2</w:t>
      </w:r>
      <w:r w:rsidRPr="0048072E">
        <w:rPr>
          <w:szCs w:val="24"/>
        </w:rPr>
        <w:t>5,2 млн. руб. Ожидаемая оценка поступлений налога на доходы физических лиц на 2014 год указана в действующих условиях по следующим параметрам:</w:t>
      </w:r>
    </w:p>
    <w:p w:rsidR="00165889" w:rsidRPr="0048072E" w:rsidRDefault="00165889" w:rsidP="002161C5">
      <w:pPr>
        <w:ind w:firstLine="709"/>
        <w:jc w:val="both"/>
        <w:rPr>
          <w:szCs w:val="24"/>
        </w:rPr>
      </w:pPr>
      <w:r w:rsidRPr="0048072E">
        <w:rPr>
          <w:szCs w:val="24"/>
        </w:rPr>
        <w:t>- бюджет района – 5% по БК РФ;</w:t>
      </w:r>
    </w:p>
    <w:p w:rsidR="00165889" w:rsidRPr="0048072E" w:rsidRDefault="00165889" w:rsidP="002161C5">
      <w:pPr>
        <w:ind w:firstLine="709"/>
        <w:jc w:val="both"/>
        <w:rPr>
          <w:szCs w:val="24"/>
        </w:rPr>
      </w:pPr>
      <w:r w:rsidRPr="0048072E">
        <w:rPr>
          <w:szCs w:val="24"/>
        </w:rPr>
        <w:t>-23,5 % по Закону ХМАО - Югры;</w:t>
      </w:r>
    </w:p>
    <w:p w:rsidR="00165889" w:rsidRPr="0048072E" w:rsidRDefault="00165889" w:rsidP="002161C5">
      <w:pPr>
        <w:ind w:firstLine="709"/>
        <w:jc w:val="both"/>
        <w:rPr>
          <w:szCs w:val="24"/>
        </w:rPr>
      </w:pPr>
      <w:r w:rsidRPr="0048072E">
        <w:rPr>
          <w:szCs w:val="24"/>
        </w:rPr>
        <w:t>- 12 % дополнительный норматив отчислений от  НДФЛ.</w:t>
      </w:r>
    </w:p>
    <w:p w:rsidR="00165889" w:rsidRPr="0048072E" w:rsidRDefault="00165889" w:rsidP="002161C5">
      <w:pPr>
        <w:jc w:val="both"/>
        <w:rPr>
          <w:szCs w:val="24"/>
        </w:rPr>
      </w:pPr>
      <w:r w:rsidRPr="0048072E">
        <w:rPr>
          <w:szCs w:val="24"/>
        </w:rPr>
        <w:t>Итого - норматив отчисления в бюджет района составляет - 40,5%.</w:t>
      </w:r>
    </w:p>
    <w:p w:rsidR="00165889" w:rsidRPr="0048072E" w:rsidRDefault="00165889" w:rsidP="002161C5">
      <w:pPr>
        <w:jc w:val="both"/>
        <w:rPr>
          <w:szCs w:val="24"/>
        </w:rPr>
      </w:pPr>
      <w:r w:rsidRPr="0048072E">
        <w:rPr>
          <w:szCs w:val="24"/>
        </w:rPr>
        <w:t>В бюджеты поселений по  нормативу отчислений  - 10,%  по БК РФ.</w:t>
      </w:r>
    </w:p>
    <w:p w:rsidR="00165889" w:rsidRPr="0048072E" w:rsidRDefault="00165889" w:rsidP="002161C5">
      <w:pPr>
        <w:ind w:firstLine="708"/>
        <w:jc w:val="both"/>
        <w:rPr>
          <w:szCs w:val="24"/>
        </w:rPr>
      </w:pPr>
      <w:r w:rsidRPr="0048072E">
        <w:rPr>
          <w:szCs w:val="24"/>
        </w:rPr>
        <w:t>Прогноз НДФЛ на 2015- 2017 годы предусмотрен по нормативу – бюджет района -  28,5%, бюджеты поселений – 10%.В период 2015-2017 годов поступления НДФЛ прогнозируется в объеме: 2015 г</w:t>
      </w:r>
      <w:r w:rsidR="00DE0D69" w:rsidRPr="0048072E">
        <w:rPr>
          <w:szCs w:val="24"/>
        </w:rPr>
        <w:t xml:space="preserve">од </w:t>
      </w:r>
      <w:r w:rsidR="0048072E">
        <w:rPr>
          <w:szCs w:val="24"/>
        </w:rPr>
        <w:t>–</w:t>
      </w:r>
      <w:r w:rsidR="00DE0D69" w:rsidRPr="0048072E">
        <w:rPr>
          <w:szCs w:val="24"/>
        </w:rPr>
        <w:t xml:space="preserve"> 4</w:t>
      </w:r>
      <w:r w:rsidR="0048072E">
        <w:rPr>
          <w:szCs w:val="24"/>
        </w:rPr>
        <w:t>42,1</w:t>
      </w:r>
      <w:r w:rsidR="00DE0D69" w:rsidRPr="0048072E">
        <w:rPr>
          <w:szCs w:val="24"/>
        </w:rPr>
        <w:t xml:space="preserve"> млн. руб., </w:t>
      </w:r>
      <w:r w:rsidRPr="0048072E">
        <w:rPr>
          <w:szCs w:val="24"/>
        </w:rPr>
        <w:t xml:space="preserve"> 2016  г</w:t>
      </w:r>
      <w:r w:rsidR="00DE0D69" w:rsidRPr="0048072E">
        <w:rPr>
          <w:szCs w:val="24"/>
        </w:rPr>
        <w:t xml:space="preserve">од </w:t>
      </w:r>
      <w:r w:rsidR="0048072E">
        <w:rPr>
          <w:szCs w:val="24"/>
        </w:rPr>
        <w:t>–462,0</w:t>
      </w:r>
      <w:r w:rsidRPr="0048072E">
        <w:rPr>
          <w:szCs w:val="24"/>
        </w:rPr>
        <w:t xml:space="preserve"> млн. руб., 2017 г</w:t>
      </w:r>
      <w:r w:rsidR="00DE0D69" w:rsidRPr="0048072E">
        <w:rPr>
          <w:szCs w:val="24"/>
        </w:rPr>
        <w:t xml:space="preserve">од </w:t>
      </w:r>
      <w:r w:rsidR="0048072E">
        <w:rPr>
          <w:szCs w:val="24"/>
        </w:rPr>
        <w:t>–481,9</w:t>
      </w:r>
      <w:r w:rsidRPr="0048072E">
        <w:rPr>
          <w:szCs w:val="24"/>
        </w:rPr>
        <w:t xml:space="preserve"> млн. руб.</w:t>
      </w:r>
    </w:p>
    <w:p w:rsidR="00341997" w:rsidRPr="00AA6CD1" w:rsidRDefault="00341997" w:rsidP="002161C5">
      <w:pPr>
        <w:ind w:firstLine="708"/>
        <w:jc w:val="both"/>
        <w:rPr>
          <w:szCs w:val="24"/>
        </w:rPr>
      </w:pPr>
      <w:r w:rsidRPr="00AA6CD1">
        <w:rPr>
          <w:b/>
          <w:szCs w:val="24"/>
        </w:rPr>
        <w:t xml:space="preserve">Исполнение по неналоговым доходам </w:t>
      </w:r>
      <w:r w:rsidRPr="00AA6CD1">
        <w:rPr>
          <w:szCs w:val="24"/>
        </w:rPr>
        <w:t xml:space="preserve">за 2013 год составило </w:t>
      </w:r>
      <w:r w:rsidRPr="00AA6CD1">
        <w:rPr>
          <w:bCs/>
          <w:szCs w:val="24"/>
        </w:rPr>
        <w:t>604,8</w:t>
      </w:r>
      <w:r w:rsidR="00C37F20">
        <w:rPr>
          <w:bCs/>
          <w:szCs w:val="24"/>
        </w:rPr>
        <w:t xml:space="preserve"> </w:t>
      </w:r>
      <w:r w:rsidRPr="00AA6CD1">
        <w:rPr>
          <w:bCs/>
          <w:szCs w:val="24"/>
        </w:rPr>
        <w:t>млн</w:t>
      </w:r>
      <w:r w:rsidR="00C35D81" w:rsidRPr="00AA6CD1">
        <w:rPr>
          <w:szCs w:val="24"/>
        </w:rPr>
        <w:t>. рублей</w:t>
      </w:r>
      <w:r w:rsidRPr="00AA6CD1">
        <w:rPr>
          <w:szCs w:val="24"/>
        </w:rPr>
        <w:t xml:space="preserve">. Снижение показателя в 2014 году и прогнозном периоде 2015-2017 годов </w:t>
      </w:r>
      <w:proofErr w:type="gramStart"/>
      <w:r w:rsidRPr="00AA6CD1">
        <w:rPr>
          <w:szCs w:val="24"/>
        </w:rPr>
        <w:t>спланированы</w:t>
      </w:r>
      <w:proofErr w:type="gramEnd"/>
      <w:r w:rsidRPr="00AA6CD1">
        <w:rPr>
          <w:szCs w:val="24"/>
        </w:rPr>
        <w:t xml:space="preserve"> соответствующими администраторами доходов бюджета Белоярского района, исходя из плановых поступлений доходов.</w:t>
      </w:r>
    </w:p>
    <w:p w:rsidR="00341997" w:rsidRPr="00AA6CD1" w:rsidRDefault="00341997" w:rsidP="002161C5">
      <w:pPr>
        <w:ind w:firstLine="708"/>
        <w:jc w:val="both"/>
        <w:rPr>
          <w:szCs w:val="24"/>
        </w:rPr>
      </w:pPr>
      <w:r w:rsidRPr="00AA6CD1">
        <w:rPr>
          <w:b/>
          <w:szCs w:val="24"/>
        </w:rPr>
        <w:t>Налоговые и неналоговые  доходы</w:t>
      </w:r>
      <w:r w:rsidRPr="00AA6CD1">
        <w:rPr>
          <w:szCs w:val="24"/>
        </w:rPr>
        <w:t xml:space="preserve">, формируемые на территории  Белоярского района, в 2014 году оценочно составят </w:t>
      </w:r>
      <w:r w:rsidR="00AA6CD1">
        <w:rPr>
          <w:szCs w:val="24"/>
        </w:rPr>
        <w:t>975,4</w:t>
      </w:r>
      <w:r w:rsidRPr="00AA6CD1">
        <w:rPr>
          <w:szCs w:val="24"/>
        </w:rPr>
        <w:t xml:space="preserve"> млн. руб. Удельный вес налоговых и неналоговых поступлений в общей сумме доходов консолидированного бюджета Белоярского района составит 3</w:t>
      </w:r>
      <w:r w:rsidR="00AA6CD1">
        <w:rPr>
          <w:szCs w:val="24"/>
        </w:rPr>
        <w:t>2,4</w:t>
      </w:r>
      <w:r w:rsidRPr="00AA6CD1">
        <w:rPr>
          <w:szCs w:val="24"/>
        </w:rPr>
        <w:t>%.</w:t>
      </w:r>
      <w:r w:rsidR="00C37F20">
        <w:rPr>
          <w:szCs w:val="24"/>
        </w:rPr>
        <w:t xml:space="preserve"> </w:t>
      </w:r>
      <w:r w:rsidRPr="00AA6CD1">
        <w:rPr>
          <w:szCs w:val="24"/>
        </w:rPr>
        <w:t xml:space="preserve">В 2015 - 2017 годах удельный вес налоговых и неналоговых доходов составит </w:t>
      </w:r>
      <w:r w:rsidR="00AA6CD1">
        <w:rPr>
          <w:szCs w:val="24"/>
        </w:rPr>
        <w:t>29,8</w:t>
      </w:r>
      <w:r w:rsidRPr="00AA6CD1">
        <w:rPr>
          <w:szCs w:val="24"/>
        </w:rPr>
        <w:t>% -</w:t>
      </w:r>
      <w:r w:rsidR="00C37F20">
        <w:rPr>
          <w:szCs w:val="24"/>
        </w:rPr>
        <w:t xml:space="preserve"> </w:t>
      </w:r>
      <w:r w:rsidRPr="00AA6CD1">
        <w:rPr>
          <w:szCs w:val="24"/>
        </w:rPr>
        <w:t>3</w:t>
      </w:r>
      <w:r w:rsidR="00AA6CD1">
        <w:rPr>
          <w:szCs w:val="24"/>
        </w:rPr>
        <w:t>1</w:t>
      </w:r>
      <w:r w:rsidRPr="00AA6CD1">
        <w:rPr>
          <w:szCs w:val="24"/>
        </w:rPr>
        <w:t>,</w:t>
      </w:r>
      <w:r w:rsidR="00AA6CD1">
        <w:rPr>
          <w:szCs w:val="24"/>
        </w:rPr>
        <w:t>7</w:t>
      </w:r>
      <w:r w:rsidRPr="00AA6CD1">
        <w:rPr>
          <w:szCs w:val="24"/>
        </w:rPr>
        <w:t xml:space="preserve">%. </w:t>
      </w:r>
    </w:p>
    <w:p w:rsidR="00341997" w:rsidRPr="0071515D" w:rsidRDefault="00C35D81" w:rsidP="002161C5">
      <w:pPr>
        <w:pStyle w:val="Default"/>
        <w:ind w:firstLine="708"/>
        <w:jc w:val="both"/>
        <w:rPr>
          <w:color w:val="auto"/>
        </w:rPr>
      </w:pPr>
      <w:r w:rsidRPr="0071515D">
        <w:rPr>
          <w:color w:val="auto"/>
        </w:rPr>
        <w:t>С 1 января 2015 года</w:t>
      </w:r>
      <w:r w:rsidR="00341997" w:rsidRPr="0071515D">
        <w:rPr>
          <w:color w:val="auto"/>
        </w:rPr>
        <w:t xml:space="preserve"> вступят в силу новые принципы налогообложения недвижимого имущества физических лиц. В частности, Налоговый кодекс Российской Федерации планируется дополнить новой главой «Налог на недвижимое имущество физических лиц». При этом налоговой базой по этому новому местному налогу будет признаваться кадастровая стоимость объектов недвижимого имущества (земельные участки и объекты капитального строительства). Новый налог на недвижимое имущество получат возможность вводить органы местного самоуправления в тех субъектах Российской Федерации, где законом субъекта Российской Федерации будет отменен действующий налог на имущество физических лиц.</w:t>
      </w:r>
    </w:p>
    <w:p w:rsidR="00341997" w:rsidRPr="0071515D" w:rsidRDefault="00341997" w:rsidP="002161C5">
      <w:pPr>
        <w:snapToGrid w:val="0"/>
        <w:ind w:firstLine="709"/>
        <w:jc w:val="both"/>
        <w:rPr>
          <w:szCs w:val="24"/>
        </w:rPr>
      </w:pPr>
      <w:r w:rsidRPr="0071515D">
        <w:rPr>
          <w:b/>
          <w:szCs w:val="24"/>
        </w:rPr>
        <w:t xml:space="preserve">Безвозмездные перечисления </w:t>
      </w:r>
      <w:r w:rsidRPr="0071515D">
        <w:rPr>
          <w:szCs w:val="24"/>
        </w:rPr>
        <w:t xml:space="preserve">консолидированного бюджета Белоярского района </w:t>
      </w:r>
      <w:r w:rsidRPr="0071515D">
        <w:rPr>
          <w:b/>
          <w:szCs w:val="24"/>
        </w:rPr>
        <w:t xml:space="preserve">в 2013 году </w:t>
      </w:r>
      <w:r w:rsidRPr="0071515D">
        <w:rPr>
          <w:szCs w:val="24"/>
        </w:rPr>
        <w:t xml:space="preserve">составили </w:t>
      </w:r>
      <w:r w:rsidRPr="0071515D">
        <w:rPr>
          <w:bCs/>
          <w:szCs w:val="24"/>
        </w:rPr>
        <w:t xml:space="preserve">2 296,9 </w:t>
      </w:r>
      <w:r w:rsidRPr="0071515D">
        <w:rPr>
          <w:szCs w:val="24"/>
        </w:rPr>
        <w:t>млн. рублей. Удельный вес безвозмездных поступлений в общей сумме доходов составил 60,4%, по оценки 2014 года</w:t>
      </w:r>
      <w:r w:rsidR="00C37F20">
        <w:rPr>
          <w:szCs w:val="24"/>
        </w:rPr>
        <w:t xml:space="preserve"> </w:t>
      </w:r>
      <w:r w:rsidRPr="0071515D">
        <w:rPr>
          <w:szCs w:val="24"/>
        </w:rPr>
        <w:t>-</w:t>
      </w:r>
      <w:r w:rsidR="00C37F20">
        <w:rPr>
          <w:szCs w:val="24"/>
        </w:rPr>
        <w:t xml:space="preserve"> </w:t>
      </w:r>
      <w:r w:rsidR="0071515D">
        <w:rPr>
          <w:szCs w:val="24"/>
        </w:rPr>
        <w:t>67</w:t>
      </w:r>
      <w:r w:rsidRPr="0071515D">
        <w:rPr>
          <w:szCs w:val="24"/>
        </w:rPr>
        <w:t>%.  В прогнозном периоде удельн</w:t>
      </w:r>
      <w:r w:rsidR="009B58BA">
        <w:rPr>
          <w:szCs w:val="24"/>
        </w:rPr>
        <w:t>ый</w:t>
      </w:r>
      <w:r w:rsidRPr="0071515D">
        <w:rPr>
          <w:szCs w:val="24"/>
        </w:rPr>
        <w:t xml:space="preserve"> вес безвозмездных перечислений</w:t>
      </w:r>
      <w:r w:rsidR="009B58BA">
        <w:rPr>
          <w:szCs w:val="24"/>
        </w:rPr>
        <w:t xml:space="preserve"> составит</w:t>
      </w:r>
      <w:r w:rsidRPr="0071515D">
        <w:rPr>
          <w:szCs w:val="24"/>
        </w:rPr>
        <w:t xml:space="preserve">: 2015 год – </w:t>
      </w:r>
      <w:r w:rsidR="009B58BA">
        <w:rPr>
          <w:szCs w:val="24"/>
        </w:rPr>
        <w:t>70,2</w:t>
      </w:r>
      <w:r w:rsidRPr="0071515D">
        <w:rPr>
          <w:szCs w:val="24"/>
        </w:rPr>
        <w:t xml:space="preserve">%, 2016 год – </w:t>
      </w:r>
      <w:r w:rsidR="009B58BA">
        <w:rPr>
          <w:szCs w:val="24"/>
        </w:rPr>
        <w:t>69</w:t>
      </w:r>
      <w:r w:rsidRPr="0071515D">
        <w:rPr>
          <w:szCs w:val="24"/>
        </w:rPr>
        <w:t xml:space="preserve">%, 2017 год – </w:t>
      </w:r>
      <w:r w:rsidR="009B58BA">
        <w:rPr>
          <w:szCs w:val="24"/>
        </w:rPr>
        <w:t>68,3</w:t>
      </w:r>
      <w:r w:rsidRPr="0071515D">
        <w:rPr>
          <w:szCs w:val="24"/>
        </w:rPr>
        <w:t>%.</w:t>
      </w:r>
    </w:p>
    <w:p w:rsidR="00341997" w:rsidRPr="0004427B" w:rsidRDefault="00341997" w:rsidP="002161C5">
      <w:pPr>
        <w:autoSpaceDE w:val="0"/>
        <w:autoSpaceDN w:val="0"/>
        <w:adjustRightInd w:val="0"/>
        <w:ind w:firstLine="540"/>
        <w:jc w:val="both"/>
        <w:rPr>
          <w:szCs w:val="24"/>
        </w:rPr>
      </w:pPr>
      <w:r w:rsidRPr="0004427B">
        <w:rPr>
          <w:szCs w:val="24"/>
        </w:rPr>
        <w:t xml:space="preserve">Ключевой задачей бюджетной политики является повышение эффективности бюджетных </w:t>
      </w:r>
      <w:r w:rsidRPr="0004427B">
        <w:rPr>
          <w:b/>
          <w:szCs w:val="24"/>
        </w:rPr>
        <w:t>расходов</w:t>
      </w:r>
      <w:r w:rsidRPr="0004427B">
        <w:rPr>
          <w:szCs w:val="24"/>
        </w:rPr>
        <w:t xml:space="preserve"> в целях обеспечения потребностей граждан в качественных и доступных государственных услугах.</w:t>
      </w:r>
    </w:p>
    <w:p w:rsidR="00341997" w:rsidRPr="0004427B" w:rsidRDefault="00341997" w:rsidP="002161C5">
      <w:pPr>
        <w:ind w:firstLine="708"/>
        <w:jc w:val="both"/>
        <w:rPr>
          <w:szCs w:val="24"/>
        </w:rPr>
      </w:pPr>
      <w:r w:rsidRPr="0004427B">
        <w:rPr>
          <w:szCs w:val="24"/>
        </w:rPr>
        <w:t>Исполнение консолидированного бюджета Белоярского района</w:t>
      </w:r>
      <w:r w:rsidRPr="0004427B">
        <w:rPr>
          <w:b/>
          <w:szCs w:val="24"/>
        </w:rPr>
        <w:t xml:space="preserve"> по расходам</w:t>
      </w:r>
      <w:r w:rsidRPr="0004427B">
        <w:rPr>
          <w:szCs w:val="24"/>
        </w:rPr>
        <w:t xml:space="preserve"> за 2013 год составило </w:t>
      </w:r>
      <w:r w:rsidRPr="0004427B">
        <w:rPr>
          <w:bCs/>
          <w:szCs w:val="24"/>
        </w:rPr>
        <w:t>4 169,2 млн</w:t>
      </w:r>
      <w:r w:rsidRPr="0004427B">
        <w:rPr>
          <w:szCs w:val="24"/>
        </w:rPr>
        <w:t>. рублей.</w:t>
      </w:r>
    </w:p>
    <w:p w:rsidR="00341997" w:rsidRPr="00ED1082" w:rsidRDefault="00341997" w:rsidP="002161C5">
      <w:pPr>
        <w:ind w:firstLine="708"/>
        <w:jc w:val="both"/>
        <w:rPr>
          <w:szCs w:val="24"/>
        </w:rPr>
      </w:pPr>
      <w:r w:rsidRPr="0004427B">
        <w:rPr>
          <w:szCs w:val="24"/>
        </w:rPr>
        <w:t>Итоги исполнения бюджета свидетельствуют о социальной направленности бюджетных средств. Расходы на социальную сферу составили</w:t>
      </w:r>
      <w:r w:rsidR="00C37F20">
        <w:rPr>
          <w:szCs w:val="24"/>
        </w:rPr>
        <w:t xml:space="preserve"> </w:t>
      </w:r>
      <w:r w:rsidRPr="0004427B">
        <w:rPr>
          <w:szCs w:val="24"/>
        </w:rPr>
        <w:t>2237,3 млн. руб. или 53,7 % от общих расходов.</w:t>
      </w:r>
      <w:r w:rsidR="00C37F20">
        <w:rPr>
          <w:szCs w:val="24"/>
        </w:rPr>
        <w:t xml:space="preserve"> </w:t>
      </w:r>
      <w:r w:rsidRPr="0004427B">
        <w:rPr>
          <w:szCs w:val="24"/>
        </w:rPr>
        <w:t xml:space="preserve">Оценка расходных обязательств 2014 года исходит из прогнозируемой оценки формирования доходной базы консолидированного бюджета Белоярского района. </w:t>
      </w:r>
      <w:r w:rsidRPr="00ED1082">
        <w:rPr>
          <w:szCs w:val="24"/>
        </w:rPr>
        <w:t xml:space="preserve">Расходы на социальную сферу составят </w:t>
      </w:r>
      <w:r w:rsidR="00ED1082" w:rsidRPr="00ED1082">
        <w:rPr>
          <w:szCs w:val="24"/>
        </w:rPr>
        <w:t>58,5</w:t>
      </w:r>
      <w:r w:rsidRPr="00ED1082">
        <w:rPr>
          <w:szCs w:val="24"/>
        </w:rPr>
        <w:t>% от общих расходов бюджета или 1</w:t>
      </w:r>
      <w:r w:rsidR="001F2BB4" w:rsidRPr="00ED1082">
        <w:rPr>
          <w:szCs w:val="24"/>
        </w:rPr>
        <w:t> </w:t>
      </w:r>
      <w:r w:rsidRPr="00ED1082">
        <w:rPr>
          <w:szCs w:val="24"/>
        </w:rPr>
        <w:t>9</w:t>
      </w:r>
      <w:r w:rsidR="001F2BB4" w:rsidRPr="00ED1082">
        <w:rPr>
          <w:szCs w:val="24"/>
        </w:rPr>
        <w:t>51,5</w:t>
      </w:r>
      <w:r w:rsidRPr="00ED1082">
        <w:rPr>
          <w:szCs w:val="24"/>
        </w:rPr>
        <w:t xml:space="preserve"> млн. руб. В прогнозном периоде 2015-2017 годов динамика расходов на социальную сферу составит от 70% до 75%.</w:t>
      </w:r>
    </w:p>
    <w:p w:rsidR="00C35D81" w:rsidRPr="00F1088B" w:rsidRDefault="00C35D81" w:rsidP="002161C5">
      <w:pPr>
        <w:ind w:firstLine="708"/>
        <w:jc w:val="right"/>
        <w:rPr>
          <w:color w:val="FF0000"/>
          <w:szCs w:val="24"/>
        </w:rPr>
      </w:pPr>
    </w:p>
    <w:p w:rsidR="00281AC0" w:rsidRDefault="00281AC0" w:rsidP="002161C5">
      <w:pPr>
        <w:ind w:firstLine="708"/>
        <w:jc w:val="right"/>
        <w:rPr>
          <w:color w:val="FF0000"/>
          <w:szCs w:val="24"/>
        </w:rPr>
      </w:pPr>
    </w:p>
    <w:p w:rsidR="00AB366C" w:rsidRPr="00F1088B" w:rsidRDefault="00AB366C" w:rsidP="002161C5">
      <w:pPr>
        <w:ind w:firstLine="708"/>
        <w:jc w:val="right"/>
        <w:rPr>
          <w:color w:val="FF0000"/>
          <w:szCs w:val="24"/>
        </w:rPr>
      </w:pPr>
    </w:p>
    <w:p w:rsidR="008A2742" w:rsidRPr="00DE2824" w:rsidRDefault="008A2742" w:rsidP="002161C5">
      <w:pPr>
        <w:ind w:firstLine="708"/>
        <w:jc w:val="right"/>
        <w:rPr>
          <w:szCs w:val="24"/>
        </w:rPr>
      </w:pPr>
      <w:r w:rsidRPr="00DE2824">
        <w:rPr>
          <w:szCs w:val="24"/>
        </w:rPr>
        <w:lastRenderedPageBreak/>
        <w:t>Диаграмма</w:t>
      </w:r>
      <w:r w:rsidR="00925388" w:rsidRPr="00DE2824">
        <w:rPr>
          <w:szCs w:val="24"/>
        </w:rPr>
        <w:t xml:space="preserve"> 23</w:t>
      </w:r>
    </w:p>
    <w:p w:rsidR="00565F10" w:rsidRPr="00F1088B" w:rsidRDefault="00565F10" w:rsidP="002161C5">
      <w:pPr>
        <w:jc w:val="both"/>
        <w:rPr>
          <w:color w:val="FF0000"/>
          <w:szCs w:val="24"/>
        </w:rPr>
      </w:pPr>
      <w:r w:rsidRPr="00F1088B">
        <w:rPr>
          <w:noProof/>
          <w:color w:val="FF0000"/>
          <w:szCs w:val="24"/>
        </w:rPr>
        <w:drawing>
          <wp:inline distT="0" distB="0" distL="0" distR="0">
            <wp:extent cx="5829300" cy="3467100"/>
            <wp:effectExtent l="1905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41997" w:rsidRPr="0004427B" w:rsidRDefault="00341997" w:rsidP="002161C5">
      <w:pPr>
        <w:ind w:firstLine="708"/>
        <w:jc w:val="both"/>
        <w:rPr>
          <w:szCs w:val="24"/>
        </w:rPr>
      </w:pPr>
      <w:r w:rsidRPr="0004427B">
        <w:rPr>
          <w:b/>
          <w:szCs w:val="24"/>
        </w:rPr>
        <w:t xml:space="preserve">Дефицит </w:t>
      </w:r>
      <w:r w:rsidRPr="0004427B">
        <w:rPr>
          <w:szCs w:val="24"/>
        </w:rPr>
        <w:t xml:space="preserve">консолидированного бюджета Белоярского района за                                     2013 год составил </w:t>
      </w:r>
      <w:r w:rsidRPr="0004427B">
        <w:rPr>
          <w:b/>
          <w:szCs w:val="24"/>
        </w:rPr>
        <w:t>368</w:t>
      </w:r>
      <w:r w:rsidR="0069695F" w:rsidRPr="0004427B">
        <w:rPr>
          <w:b/>
          <w:szCs w:val="24"/>
        </w:rPr>
        <w:t>,</w:t>
      </w:r>
      <w:r w:rsidRPr="0004427B">
        <w:rPr>
          <w:b/>
          <w:szCs w:val="24"/>
        </w:rPr>
        <w:t>1</w:t>
      </w:r>
      <w:r w:rsidR="0069695F" w:rsidRPr="0004427B">
        <w:rPr>
          <w:b/>
          <w:szCs w:val="24"/>
        </w:rPr>
        <w:t xml:space="preserve"> млн.</w:t>
      </w:r>
      <w:r w:rsidRPr="0004427B">
        <w:rPr>
          <w:b/>
          <w:szCs w:val="24"/>
        </w:rPr>
        <w:t xml:space="preserve"> рублей. </w:t>
      </w:r>
      <w:r w:rsidRPr="0004427B">
        <w:rPr>
          <w:szCs w:val="24"/>
        </w:rPr>
        <w:t>По оценки 2014 года</w:t>
      </w:r>
      <w:r w:rsidRPr="0004427B">
        <w:rPr>
          <w:b/>
          <w:szCs w:val="24"/>
        </w:rPr>
        <w:t xml:space="preserve"> дефицит </w:t>
      </w:r>
      <w:r w:rsidRPr="0004427B">
        <w:rPr>
          <w:szCs w:val="24"/>
        </w:rPr>
        <w:t>консолидированного бюджета составит 323,2 млн</w:t>
      </w:r>
      <w:proofErr w:type="gramStart"/>
      <w:r w:rsidRPr="0004427B">
        <w:rPr>
          <w:szCs w:val="24"/>
        </w:rPr>
        <w:t>.р</w:t>
      </w:r>
      <w:proofErr w:type="gramEnd"/>
      <w:r w:rsidRPr="0004427B">
        <w:rPr>
          <w:szCs w:val="24"/>
        </w:rPr>
        <w:t>уб.</w:t>
      </w:r>
      <w:r w:rsidR="00C37F20">
        <w:rPr>
          <w:szCs w:val="24"/>
        </w:rPr>
        <w:t xml:space="preserve"> </w:t>
      </w:r>
      <w:r w:rsidRPr="0004427B">
        <w:rPr>
          <w:szCs w:val="24"/>
        </w:rPr>
        <w:t>В прогнозном 2015 году  -</w:t>
      </w:r>
      <w:r w:rsidR="00C37F20">
        <w:rPr>
          <w:szCs w:val="24"/>
        </w:rPr>
        <w:t xml:space="preserve"> </w:t>
      </w:r>
      <w:r w:rsidR="0004427B">
        <w:rPr>
          <w:szCs w:val="24"/>
        </w:rPr>
        <w:t>28,0</w:t>
      </w:r>
      <w:r w:rsidRPr="0004427B">
        <w:rPr>
          <w:szCs w:val="24"/>
        </w:rPr>
        <w:t xml:space="preserve"> млн.руб., в 2016 году</w:t>
      </w:r>
      <w:r w:rsidR="00C37F20">
        <w:rPr>
          <w:szCs w:val="24"/>
        </w:rPr>
        <w:t xml:space="preserve"> </w:t>
      </w:r>
      <w:r w:rsidRPr="0004427B">
        <w:rPr>
          <w:szCs w:val="24"/>
        </w:rPr>
        <w:t>-</w:t>
      </w:r>
      <w:r w:rsidR="0004427B">
        <w:rPr>
          <w:szCs w:val="24"/>
        </w:rPr>
        <w:t>29,2</w:t>
      </w:r>
      <w:r w:rsidRPr="0004427B">
        <w:rPr>
          <w:szCs w:val="24"/>
        </w:rPr>
        <w:t xml:space="preserve"> млн.руб., в 2017 году</w:t>
      </w:r>
      <w:r w:rsidR="00C37F20">
        <w:rPr>
          <w:szCs w:val="24"/>
        </w:rPr>
        <w:t xml:space="preserve"> </w:t>
      </w:r>
      <w:r w:rsidR="0004427B">
        <w:rPr>
          <w:szCs w:val="24"/>
        </w:rPr>
        <w:t>–</w:t>
      </w:r>
      <w:r w:rsidR="00C37F20">
        <w:rPr>
          <w:szCs w:val="24"/>
        </w:rPr>
        <w:t xml:space="preserve"> </w:t>
      </w:r>
      <w:r w:rsidR="0004427B">
        <w:rPr>
          <w:szCs w:val="24"/>
        </w:rPr>
        <w:t>30,3</w:t>
      </w:r>
      <w:r w:rsidRPr="0004427B">
        <w:rPr>
          <w:szCs w:val="24"/>
        </w:rPr>
        <w:t xml:space="preserve"> млн.руб.</w:t>
      </w:r>
    </w:p>
    <w:p w:rsidR="0016120E" w:rsidRDefault="0016120E" w:rsidP="002161C5">
      <w:pPr>
        <w:ind w:left="-567" w:firstLine="425"/>
        <w:jc w:val="center"/>
        <w:rPr>
          <w:b/>
          <w:color w:val="FF0000"/>
          <w:szCs w:val="24"/>
        </w:rPr>
      </w:pPr>
    </w:p>
    <w:p w:rsidR="00AB366C" w:rsidRPr="00F1088B" w:rsidRDefault="00AB366C" w:rsidP="002161C5">
      <w:pPr>
        <w:ind w:left="-567" w:firstLine="425"/>
        <w:jc w:val="center"/>
        <w:rPr>
          <w:b/>
          <w:color w:val="FF0000"/>
          <w:szCs w:val="24"/>
        </w:rPr>
      </w:pPr>
    </w:p>
    <w:p w:rsidR="0029298D" w:rsidRPr="00DE2824" w:rsidRDefault="0029298D" w:rsidP="002161C5">
      <w:pPr>
        <w:jc w:val="center"/>
        <w:rPr>
          <w:b/>
          <w:szCs w:val="24"/>
        </w:rPr>
      </w:pPr>
      <w:r w:rsidRPr="00DE2824">
        <w:rPr>
          <w:b/>
          <w:szCs w:val="24"/>
        </w:rPr>
        <w:t xml:space="preserve">Перечень основных проблемных вопросов развития </w:t>
      </w:r>
      <w:r w:rsidR="00D37E1D" w:rsidRPr="00DE2824">
        <w:rPr>
          <w:b/>
          <w:szCs w:val="24"/>
        </w:rPr>
        <w:t>Белоярского района</w:t>
      </w:r>
      <w:r w:rsidRPr="00DE2824">
        <w:rPr>
          <w:b/>
          <w:szCs w:val="24"/>
        </w:rPr>
        <w:t>, сдерживающих социально-экономическое развитие</w:t>
      </w:r>
    </w:p>
    <w:p w:rsidR="00925388" w:rsidRPr="00DE2824" w:rsidRDefault="00925388" w:rsidP="002161C5">
      <w:pPr>
        <w:jc w:val="center"/>
        <w:rPr>
          <w:b/>
          <w:szCs w:val="24"/>
        </w:rPr>
      </w:pPr>
    </w:p>
    <w:tbl>
      <w:tblPr>
        <w:tblStyle w:val="af"/>
        <w:tblW w:w="9578" w:type="dxa"/>
        <w:tblLook w:val="04A0"/>
      </w:tblPr>
      <w:tblGrid>
        <w:gridCol w:w="540"/>
        <w:gridCol w:w="4820"/>
        <w:gridCol w:w="4218"/>
      </w:tblGrid>
      <w:tr w:rsidR="00F802CF" w:rsidRPr="00F1088B" w:rsidTr="00BE7DDC">
        <w:tc>
          <w:tcPr>
            <w:tcW w:w="540" w:type="dxa"/>
          </w:tcPr>
          <w:p w:rsidR="00F802CF" w:rsidRPr="00DE2824" w:rsidRDefault="00F802CF" w:rsidP="002161C5">
            <w:pPr>
              <w:jc w:val="center"/>
              <w:rPr>
                <w:sz w:val="24"/>
                <w:szCs w:val="24"/>
              </w:rPr>
            </w:pPr>
            <w:r w:rsidRPr="00DE2824">
              <w:rPr>
                <w:sz w:val="24"/>
                <w:szCs w:val="24"/>
              </w:rPr>
              <w:t>№ п/п</w:t>
            </w:r>
          </w:p>
        </w:tc>
        <w:tc>
          <w:tcPr>
            <w:tcW w:w="4820" w:type="dxa"/>
          </w:tcPr>
          <w:p w:rsidR="00F802CF" w:rsidRPr="00DE2824" w:rsidRDefault="00F802CF" w:rsidP="002161C5">
            <w:pPr>
              <w:jc w:val="center"/>
              <w:rPr>
                <w:sz w:val="24"/>
                <w:szCs w:val="24"/>
              </w:rPr>
            </w:pPr>
            <w:r w:rsidRPr="00DE2824">
              <w:rPr>
                <w:sz w:val="24"/>
                <w:szCs w:val="24"/>
              </w:rPr>
              <w:t>Перечень основных проблемных вопросов</w:t>
            </w:r>
          </w:p>
        </w:tc>
        <w:tc>
          <w:tcPr>
            <w:tcW w:w="4218" w:type="dxa"/>
          </w:tcPr>
          <w:p w:rsidR="00F802CF" w:rsidRPr="00DE2824" w:rsidRDefault="00F802CF" w:rsidP="002161C5">
            <w:pPr>
              <w:jc w:val="center"/>
              <w:rPr>
                <w:sz w:val="24"/>
                <w:szCs w:val="24"/>
              </w:rPr>
            </w:pPr>
            <w:r w:rsidRPr="00DE2824">
              <w:rPr>
                <w:sz w:val="24"/>
                <w:szCs w:val="24"/>
              </w:rPr>
              <w:t>Предлагаемые пути решения проблем</w:t>
            </w:r>
          </w:p>
        </w:tc>
      </w:tr>
      <w:tr w:rsidR="00F802CF" w:rsidRPr="00F1088B" w:rsidTr="00BE7DDC">
        <w:tc>
          <w:tcPr>
            <w:tcW w:w="540" w:type="dxa"/>
          </w:tcPr>
          <w:p w:rsidR="00F802CF" w:rsidRPr="00DE2824" w:rsidRDefault="00F802CF" w:rsidP="002161C5">
            <w:pPr>
              <w:jc w:val="center"/>
              <w:rPr>
                <w:sz w:val="24"/>
                <w:szCs w:val="24"/>
              </w:rPr>
            </w:pPr>
            <w:r w:rsidRPr="00DE2824">
              <w:rPr>
                <w:sz w:val="24"/>
                <w:szCs w:val="24"/>
              </w:rPr>
              <w:t>1.</w:t>
            </w:r>
          </w:p>
        </w:tc>
        <w:tc>
          <w:tcPr>
            <w:tcW w:w="4820" w:type="dxa"/>
          </w:tcPr>
          <w:p w:rsidR="00F802CF" w:rsidRPr="00DE2824" w:rsidRDefault="00F802CF" w:rsidP="002161C5">
            <w:pPr>
              <w:jc w:val="both"/>
              <w:rPr>
                <w:sz w:val="24"/>
                <w:szCs w:val="24"/>
              </w:rPr>
            </w:pPr>
            <w:r w:rsidRPr="00DE2824">
              <w:rPr>
                <w:sz w:val="24"/>
                <w:szCs w:val="24"/>
              </w:rPr>
              <w:t xml:space="preserve">Процент обеспеченности спортивными </w:t>
            </w:r>
            <w:r w:rsidR="005357B2" w:rsidRPr="00DE2824">
              <w:rPr>
                <w:sz w:val="24"/>
                <w:szCs w:val="24"/>
              </w:rPr>
              <w:t>сооружениями</w:t>
            </w:r>
            <w:r w:rsidRPr="00DE2824">
              <w:rPr>
                <w:sz w:val="24"/>
                <w:szCs w:val="24"/>
              </w:rPr>
              <w:t xml:space="preserve"> на территории Белоярского района составляет 38% от норматива, установленного в РФ (1 900 м2 на 10 тыс</w:t>
            </w:r>
            <w:proofErr w:type="gramStart"/>
            <w:r w:rsidRPr="00DE2824">
              <w:rPr>
                <w:sz w:val="24"/>
                <w:szCs w:val="24"/>
              </w:rPr>
              <w:t>.н</w:t>
            </w:r>
            <w:proofErr w:type="gramEnd"/>
            <w:r w:rsidRPr="00DE2824">
              <w:rPr>
                <w:sz w:val="24"/>
                <w:szCs w:val="24"/>
              </w:rPr>
              <w:t>аселения)</w:t>
            </w:r>
          </w:p>
        </w:tc>
        <w:tc>
          <w:tcPr>
            <w:tcW w:w="4218" w:type="dxa"/>
            <w:vMerge w:val="restart"/>
          </w:tcPr>
          <w:p w:rsidR="00F802CF" w:rsidRPr="00DE2824" w:rsidRDefault="00F802CF" w:rsidP="002161C5">
            <w:pPr>
              <w:jc w:val="both"/>
              <w:rPr>
                <w:sz w:val="24"/>
                <w:szCs w:val="24"/>
              </w:rPr>
            </w:pPr>
            <w:proofErr w:type="gramStart"/>
            <w:r w:rsidRPr="00DE2824">
              <w:rPr>
                <w:sz w:val="24"/>
                <w:szCs w:val="24"/>
              </w:rPr>
              <w:t>Включить в государственную программу Ханты-Мансийского автономного округа – Югры «Развитие физической культуры и спорта вХанты-Мансийском автономном округе – Югре на 2014 – 2020 годы» строительство спортивного центра с плавательным бассейном</w:t>
            </w:r>
            <w:r w:rsidR="006E4764" w:rsidRPr="00DE2824">
              <w:rPr>
                <w:sz w:val="24"/>
                <w:szCs w:val="24"/>
              </w:rPr>
              <w:t xml:space="preserve"> и универсальным игровым залом в г. Белоярский на 2015 - 2016 годы</w:t>
            </w:r>
            <w:proofErr w:type="gramEnd"/>
          </w:p>
        </w:tc>
      </w:tr>
      <w:tr w:rsidR="00F802CF" w:rsidRPr="00F1088B" w:rsidTr="00BE7DDC">
        <w:tc>
          <w:tcPr>
            <w:tcW w:w="540" w:type="dxa"/>
          </w:tcPr>
          <w:p w:rsidR="00F802CF" w:rsidRPr="00DE2824" w:rsidRDefault="00F802CF" w:rsidP="002161C5">
            <w:pPr>
              <w:jc w:val="center"/>
              <w:rPr>
                <w:sz w:val="24"/>
                <w:szCs w:val="24"/>
              </w:rPr>
            </w:pPr>
            <w:r w:rsidRPr="00DE2824">
              <w:rPr>
                <w:sz w:val="24"/>
                <w:szCs w:val="24"/>
              </w:rPr>
              <w:t>2.</w:t>
            </w:r>
          </w:p>
        </w:tc>
        <w:tc>
          <w:tcPr>
            <w:tcW w:w="4820" w:type="dxa"/>
          </w:tcPr>
          <w:p w:rsidR="00F802CF" w:rsidRPr="00DE2824" w:rsidRDefault="00F802CF" w:rsidP="002161C5">
            <w:pPr>
              <w:jc w:val="both"/>
              <w:rPr>
                <w:sz w:val="24"/>
                <w:szCs w:val="24"/>
              </w:rPr>
            </w:pPr>
            <w:r w:rsidRPr="00DE2824">
              <w:rPr>
                <w:sz w:val="24"/>
                <w:szCs w:val="24"/>
              </w:rPr>
              <w:t xml:space="preserve">Процент обеспеченности плавательными бассейнами на территории Белоярского района составляет </w:t>
            </w:r>
            <w:r w:rsidR="005357B2" w:rsidRPr="00DE2824">
              <w:rPr>
                <w:sz w:val="24"/>
                <w:szCs w:val="24"/>
              </w:rPr>
              <w:t>33</w:t>
            </w:r>
            <w:r w:rsidRPr="00DE2824">
              <w:rPr>
                <w:sz w:val="24"/>
                <w:szCs w:val="24"/>
              </w:rPr>
              <w:t>% от нормат</w:t>
            </w:r>
            <w:r w:rsidR="0023542C" w:rsidRPr="00DE2824">
              <w:rPr>
                <w:sz w:val="24"/>
                <w:szCs w:val="24"/>
              </w:rPr>
              <w:t xml:space="preserve">ива, установленного в РФ (750 кв.м. </w:t>
            </w:r>
            <w:r w:rsidRPr="00DE2824">
              <w:rPr>
                <w:sz w:val="24"/>
                <w:szCs w:val="24"/>
              </w:rPr>
              <w:t xml:space="preserve"> зеркала воды на 10 тыс. населения)</w:t>
            </w:r>
          </w:p>
        </w:tc>
        <w:tc>
          <w:tcPr>
            <w:tcW w:w="4218" w:type="dxa"/>
            <w:vMerge/>
          </w:tcPr>
          <w:p w:rsidR="00F802CF" w:rsidRPr="00F1088B" w:rsidRDefault="00F802CF" w:rsidP="002161C5">
            <w:pPr>
              <w:jc w:val="both"/>
              <w:rPr>
                <w:color w:val="FF0000"/>
                <w:sz w:val="24"/>
                <w:szCs w:val="24"/>
              </w:rPr>
            </w:pPr>
          </w:p>
        </w:tc>
      </w:tr>
      <w:tr w:rsidR="00F802CF" w:rsidRPr="00F1088B" w:rsidTr="00BE7DDC">
        <w:tc>
          <w:tcPr>
            <w:tcW w:w="540" w:type="dxa"/>
          </w:tcPr>
          <w:p w:rsidR="00F802CF" w:rsidRPr="00DE2824" w:rsidRDefault="00F802CF" w:rsidP="002161C5">
            <w:pPr>
              <w:jc w:val="center"/>
              <w:rPr>
                <w:sz w:val="24"/>
                <w:szCs w:val="24"/>
              </w:rPr>
            </w:pPr>
            <w:r w:rsidRPr="00DE2824">
              <w:rPr>
                <w:sz w:val="24"/>
                <w:szCs w:val="24"/>
              </w:rPr>
              <w:t>3.</w:t>
            </w:r>
          </w:p>
        </w:tc>
        <w:tc>
          <w:tcPr>
            <w:tcW w:w="4820" w:type="dxa"/>
          </w:tcPr>
          <w:p w:rsidR="00F802CF" w:rsidRPr="00DE2824" w:rsidRDefault="001A5F91" w:rsidP="002161C5">
            <w:pPr>
              <w:jc w:val="both"/>
              <w:rPr>
                <w:sz w:val="24"/>
                <w:szCs w:val="24"/>
              </w:rPr>
            </w:pPr>
            <w:r w:rsidRPr="00DE2824">
              <w:rPr>
                <w:sz w:val="24"/>
                <w:szCs w:val="24"/>
              </w:rPr>
              <w:t xml:space="preserve">Здание муниципального казенного учреждения культуры «Сельский дом культуры «Родник» с. Ванзеват введено в эксплуатацию в 1978 году, в 2013 году частично сгорело </w:t>
            </w:r>
            <w:r w:rsidR="00F1088B" w:rsidRPr="00DE2824">
              <w:rPr>
                <w:sz w:val="24"/>
                <w:szCs w:val="24"/>
              </w:rPr>
              <w:t>при</w:t>
            </w:r>
            <w:r w:rsidRPr="00DE2824">
              <w:rPr>
                <w:sz w:val="24"/>
                <w:szCs w:val="24"/>
              </w:rPr>
              <w:t xml:space="preserve"> пожар</w:t>
            </w:r>
            <w:r w:rsidR="00F1088B" w:rsidRPr="00DE2824">
              <w:rPr>
                <w:sz w:val="24"/>
                <w:szCs w:val="24"/>
              </w:rPr>
              <w:t>е</w:t>
            </w:r>
          </w:p>
        </w:tc>
        <w:tc>
          <w:tcPr>
            <w:tcW w:w="4218" w:type="dxa"/>
          </w:tcPr>
          <w:p w:rsidR="00F802CF" w:rsidRPr="00DE2824" w:rsidRDefault="001A5F91" w:rsidP="002161C5">
            <w:pPr>
              <w:jc w:val="both"/>
              <w:rPr>
                <w:sz w:val="24"/>
                <w:szCs w:val="24"/>
              </w:rPr>
            </w:pPr>
            <w:r w:rsidRPr="00DE2824">
              <w:rPr>
                <w:sz w:val="24"/>
                <w:szCs w:val="24"/>
              </w:rPr>
              <w:t>2015 год – строительство нового культурного комплекса сельский дом культуры на 100 мест, библиотека на 7 тыс. экземпляров книг (2014 год – подготовлена проектно-сметная документация)</w:t>
            </w:r>
          </w:p>
        </w:tc>
      </w:tr>
      <w:tr w:rsidR="00F802CF" w:rsidRPr="00F1088B" w:rsidTr="00BE7DDC">
        <w:tc>
          <w:tcPr>
            <w:tcW w:w="540" w:type="dxa"/>
          </w:tcPr>
          <w:p w:rsidR="00F802CF" w:rsidRPr="00DE2824" w:rsidRDefault="00F802CF" w:rsidP="002161C5">
            <w:pPr>
              <w:jc w:val="center"/>
              <w:rPr>
                <w:sz w:val="24"/>
                <w:szCs w:val="24"/>
              </w:rPr>
            </w:pPr>
            <w:r w:rsidRPr="00DE2824">
              <w:rPr>
                <w:sz w:val="24"/>
                <w:szCs w:val="24"/>
              </w:rPr>
              <w:t>4.</w:t>
            </w:r>
          </w:p>
        </w:tc>
        <w:tc>
          <w:tcPr>
            <w:tcW w:w="4820" w:type="dxa"/>
          </w:tcPr>
          <w:p w:rsidR="00F802CF" w:rsidRPr="00DE2824" w:rsidRDefault="001A5F91" w:rsidP="002161C5">
            <w:pPr>
              <w:jc w:val="both"/>
              <w:rPr>
                <w:sz w:val="24"/>
                <w:szCs w:val="24"/>
              </w:rPr>
            </w:pPr>
            <w:r w:rsidRPr="00DE2824">
              <w:rPr>
                <w:sz w:val="24"/>
                <w:szCs w:val="24"/>
              </w:rPr>
              <w:t xml:space="preserve">Здание муниципального казенного учреждения культуры «Сельский дом культуры «Родник» в д. Пашторы введено в </w:t>
            </w:r>
            <w:r w:rsidRPr="00DE2824">
              <w:rPr>
                <w:sz w:val="24"/>
                <w:szCs w:val="24"/>
              </w:rPr>
              <w:lastRenderedPageBreak/>
              <w:t>эксплуатацию в 1960 году, износ составляет 100%. Сельский дом культуры находится в приспособленном помещении деревянного исполнения. В связи с длительным сроком эксплуатации назрела острая проблема обеспечения безопасности в учреждении для населения</w:t>
            </w:r>
          </w:p>
        </w:tc>
        <w:tc>
          <w:tcPr>
            <w:tcW w:w="4218" w:type="dxa"/>
          </w:tcPr>
          <w:p w:rsidR="00F802CF" w:rsidRPr="00DE2824" w:rsidRDefault="00016A0E" w:rsidP="002161C5">
            <w:pPr>
              <w:jc w:val="both"/>
              <w:rPr>
                <w:sz w:val="24"/>
                <w:szCs w:val="24"/>
              </w:rPr>
            </w:pPr>
            <w:r w:rsidRPr="00DE2824">
              <w:rPr>
                <w:sz w:val="24"/>
                <w:szCs w:val="24"/>
              </w:rPr>
              <w:lastRenderedPageBreak/>
              <w:t>Строительство нового сельского дома культуры на 50 мест</w:t>
            </w:r>
          </w:p>
        </w:tc>
      </w:tr>
      <w:tr w:rsidR="00F802CF" w:rsidRPr="00F1088B" w:rsidTr="00BE7DDC">
        <w:tc>
          <w:tcPr>
            <w:tcW w:w="540" w:type="dxa"/>
          </w:tcPr>
          <w:p w:rsidR="00F802CF" w:rsidRPr="00B04D78" w:rsidRDefault="00F802CF" w:rsidP="002161C5">
            <w:pPr>
              <w:jc w:val="center"/>
              <w:rPr>
                <w:sz w:val="24"/>
                <w:szCs w:val="24"/>
              </w:rPr>
            </w:pPr>
            <w:r w:rsidRPr="00B04D78">
              <w:rPr>
                <w:sz w:val="24"/>
                <w:szCs w:val="24"/>
              </w:rPr>
              <w:lastRenderedPageBreak/>
              <w:t>5.</w:t>
            </w:r>
          </w:p>
        </w:tc>
        <w:tc>
          <w:tcPr>
            <w:tcW w:w="4820" w:type="dxa"/>
          </w:tcPr>
          <w:p w:rsidR="00F802CF" w:rsidRPr="004A470A" w:rsidRDefault="00522630" w:rsidP="002161C5">
            <w:pPr>
              <w:jc w:val="both"/>
              <w:rPr>
                <w:sz w:val="24"/>
                <w:szCs w:val="24"/>
              </w:rPr>
            </w:pPr>
            <w:r w:rsidRPr="004A470A">
              <w:rPr>
                <w:sz w:val="24"/>
                <w:szCs w:val="24"/>
              </w:rPr>
              <w:t>Процент обеспеченности дошкольными образовательными  учреждениями</w:t>
            </w:r>
            <w:r w:rsidR="00B477CF" w:rsidRPr="004A470A">
              <w:rPr>
                <w:sz w:val="24"/>
                <w:szCs w:val="24"/>
              </w:rPr>
              <w:t>в г. Белоярский</w:t>
            </w:r>
            <w:r w:rsidRPr="004A470A">
              <w:rPr>
                <w:sz w:val="24"/>
                <w:szCs w:val="24"/>
              </w:rPr>
              <w:t xml:space="preserve"> – 8</w:t>
            </w:r>
            <w:r w:rsidR="00E42755">
              <w:rPr>
                <w:sz w:val="24"/>
                <w:szCs w:val="24"/>
              </w:rPr>
              <w:t>3</w:t>
            </w:r>
            <w:r w:rsidRPr="004A470A">
              <w:rPr>
                <w:sz w:val="24"/>
                <w:szCs w:val="24"/>
              </w:rPr>
              <w:t>% от норматива (в соответствии с  законом ХМАО-Югры от 18 июля 2007 года № 84-оз «О региональном нормативе обеспечения населения Ханты-Мансийского автономного округа – Югры дошкольными образовательными организациями»)</w:t>
            </w:r>
          </w:p>
        </w:tc>
        <w:tc>
          <w:tcPr>
            <w:tcW w:w="4218" w:type="dxa"/>
          </w:tcPr>
          <w:p w:rsidR="00F802CF" w:rsidRPr="004A470A" w:rsidRDefault="00522630" w:rsidP="002161C5">
            <w:pPr>
              <w:jc w:val="both"/>
              <w:rPr>
                <w:sz w:val="24"/>
                <w:szCs w:val="24"/>
              </w:rPr>
            </w:pPr>
            <w:r w:rsidRPr="004A470A">
              <w:rPr>
                <w:sz w:val="24"/>
                <w:szCs w:val="24"/>
              </w:rPr>
              <w:t xml:space="preserve">Строительство и ввод в </w:t>
            </w:r>
            <w:r w:rsidR="004C1AC2" w:rsidRPr="004A470A">
              <w:rPr>
                <w:sz w:val="24"/>
                <w:szCs w:val="24"/>
              </w:rPr>
              <w:t>эксплуатацию</w:t>
            </w:r>
            <w:r w:rsidRPr="004A470A">
              <w:rPr>
                <w:sz w:val="24"/>
                <w:szCs w:val="24"/>
              </w:rPr>
              <w:t xml:space="preserve"> энергоэффективного детского сада в микрорайоне </w:t>
            </w:r>
            <w:proofErr w:type="gramStart"/>
            <w:r w:rsidRPr="004A470A">
              <w:rPr>
                <w:sz w:val="24"/>
                <w:szCs w:val="24"/>
              </w:rPr>
              <w:t>3</w:t>
            </w:r>
            <w:proofErr w:type="gramEnd"/>
            <w:r w:rsidRPr="004A470A">
              <w:rPr>
                <w:sz w:val="24"/>
                <w:szCs w:val="24"/>
              </w:rPr>
              <w:t xml:space="preserve"> а г. Белоярский на 220 мест</w:t>
            </w:r>
          </w:p>
        </w:tc>
      </w:tr>
      <w:tr w:rsidR="00522630" w:rsidRPr="00F1088B" w:rsidTr="00BE7DDC">
        <w:tc>
          <w:tcPr>
            <w:tcW w:w="540" w:type="dxa"/>
          </w:tcPr>
          <w:p w:rsidR="00522630" w:rsidRPr="00DE2824" w:rsidRDefault="00522630" w:rsidP="002161C5">
            <w:pPr>
              <w:jc w:val="center"/>
              <w:rPr>
                <w:sz w:val="24"/>
                <w:szCs w:val="24"/>
              </w:rPr>
            </w:pPr>
            <w:r w:rsidRPr="00DE2824">
              <w:rPr>
                <w:sz w:val="24"/>
                <w:szCs w:val="24"/>
              </w:rPr>
              <w:t>6.</w:t>
            </w:r>
          </w:p>
        </w:tc>
        <w:tc>
          <w:tcPr>
            <w:tcW w:w="4820" w:type="dxa"/>
          </w:tcPr>
          <w:p w:rsidR="00522630" w:rsidRPr="004A470A" w:rsidRDefault="00522630" w:rsidP="002161C5">
            <w:pPr>
              <w:jc w:val="both"/>
              <w:rPr>
                <w:sz w:val="24"/>
                <w:szCs w:val="24"/>
              </w:rPr>
            </w:pPr>
            <w:r w:rsidRPr="004A470A">
              <w:rPr>
                <w:sz w:val="24"/>
                <w:szCs w:val="24"/>
              </w:rPr>
              <w:t>Процент обеспеченности местами в общеобразовательных учреждениях</w:t>
            </w:r>
            <w:r w:rsidR="00B477CF" w:rsidRPr="004A470A">
              <w:rPr>
                <w:sz w:val="24"/>
                <w:szCs w:val="24"/>
              </w:rPr>
              <w:t xml:space="preserve"> в г. Белоярский</w:t>
            </w:r>
            <w:r w:rsidR="00821E4F">
              <w:rPr>
                <w:sz w:val="24"/>
                <w:szCs w:val="24"/>
              </w:rPr>
              <w:t xml:space="preserve"> – 8</w:t>
            </w:r>
            <w:r w:rsidR="00B477CF" w:rsidRPr="004A470A">
              <w:rPr>
                <w:sz w:val="24"/>
                <w:szCs w:val="24"/>
              </w:rPr>
              <w:t>0</w:t>
            </w:r>
            <w:r w:rsidRPr="004A470A">
              <w:rPr>
                <w:sz w:val="24"/>
                <w:szCs w:val="24"/>
              </w:rPr>
              <w:t>% от норматива (90 мест на 100 детей школьного возраста)</w:t>
            </w:r>
          </w:p>
        </w:tc>
        <w:tc>
          <w:tcPr>
            <w:tcW w:w="4218" w:type="dxa"/>
          </w:tcPr>
          <w:p w:rsidR="00522630" w:rsidRPr="004A470A" w:rsidRDefault="00522630" w:rsidP="002161C5">
            <w:pPr>
              <w:jc w:val="both"/>
              <w:rPr>
                <w:sz w:val="24"/>
                <w:szCs w:val="24"/>
              </w:rPr>
            </w:pPr>
            <w:r w:rsidRPr="004A470A">
              <w:rPr>
                <w:sz w:val="24"/>
                <w:szCs w:val="24"/>
              </w:rPr>
              <w:t xml:space="preserve">Строительство и ввод в </w:t>
            </w:r>
            <w:r w:rsidR="004C1AC2" w:rsidRPr="004A470A">
              <w:rPr>
                <w:sz w:val="24"/>
                <w:szCs w:val="24"/>
              </w:rPr>
              <w:t>эксплуатацию</w:t>
            </w:r>
            <w:r w:rsidRPr="004A470A">
              <w:rPr>
                <w:sz w:val="24"/>
                <w:szCs w:val="24"/>
              </w:rPr>
              <w:t xml:space="preserve"> общеобразовательного учреждения на 300 мест в г. Белоярский</w:t>
            </w:r>
          </w:p>
        </w:tc>
      </w:tr>
      <w:tr w:rsidR="00EF5DCF" w:rsidRPr="00F1088B" w:rsidTr="00BE7DDC">
        <w:tc>
          <w:tcPr>
            <w:tcW w:w="540" w:type="dxa"/>
          </w:tcPr>
          <w:p w:rsidR="00EF5DCF" w:rsidRPr="00DE2824" w:rsidRDefault="00EF5DCF" w:rsidP="002161C5">
            <w:pPr>
              <w:jc w:val="center"/>
              <w:rPr>
                <w:sz w:val="24"/>
                <w:szCs w:val="24"/>
              </w:rPr>
            </w:pPr>
            <w:r w:rsidRPr="00DE2824">
              <w:rPr>
                <w:sz w:val="24"/>
                <w:szCs w:val="24"/>
              </w:rPr>
              <w:t>7.</w:t>
            </w:r>
          </w:p>
        </w:tc>
        <w:tc>
          <w:tcPr>
            <w:tcW w:w="4820" w:type="dxa"/>
          </w:tcPr>
          <w:p w:rsidR="00EF5DCF" w:rsidRPr="00DE2824" w:rsidRDefault="00EF5DCF" w:rsidP="002161C5">
            <w:pPr>
              <w:jc w:val="both"/>
              <w:rPr>
                <w:sz w:val="24"/>
                <w:szCs w:val="24"/>
              </w:rPr>
            </w:pPr>
            <w:r w:rsidRPr="00DE2824">
              <w:rPr>
                <w:sz w:val="24"/>
                <w:szCs w:val="24"/>
              </w:rPr>
              <w:t>Реконструкция участка 527 км. – 634 км</w:t>
            </w:r>
            <w:proofErr w:type="gramStart"/>
            <w:r w:rsidRPr="00DE2824">
              <w:rPr>
                <w:sz w:val="24"/>
                <w:szCs w:val="24"/>
              </w:rPr>
              <w:t>.а</w:t>
            </w:r>
            <w:proofErr w:type="gramEnd"/>
            <w:r w:rsidRPr="00DE2824">
              <w:rPr>
                <w:sz w:val="24"/>
                <w:szCs w:val="24"/>
              </w:rPr>
              <w:t xml:space="preserve">втомобильной дороги «Югорск – Советский – Верхний Казым – Надым (до границы ХМАО) </w:t>
            </w:r>
          </w:p>
        </w:tc>
        <w:tc>
          <w:tcPr>
            <w:tcW w:w="4218" w:type="dxa"/>
          </w:tcPr>
          <w:p w:rsidR="00EF5DCF" w:rsidRPr="00DE2824" w:rsidRDefault="00EF5DCF" w:rsidP="002161C5">
            <w:pPr>
              <w:jc w:val="both"/>
              <w:rPr>
                <w:sz w:val="24"/>
                <w:szCs w:val="24"/>
              </w:rPr>
            </w:pPr>
            <w:r w:rsidRPr="00DE2824">
              <w:rPr>
                <w:sz w:val="24"/>
                <w:szCs w:val="24"/>
              </w:rPr>
              <w:t xml:space="preserve">Включение в программу «Сотрудничество», </w:t>
            </w:r>
            <w:proofErr w:type="spellStart"/>
            <w:r w:rsidRPr="00DE2824">
              <w:rPr>
                <w:sz w:val="24"/>
                <w:szCs w:val="24"/>
              </w:rPr>
              <w:t>софинансирование</w:t>
            </w:r>
            <w:proofErr w:type="spellEnd"/>
            <w:r w:rsidRPr="00DE2824">
              <w:rPr>
                <w:sz w:val="24"/>
                <w:szCs w:val="24"/>
              </w:rPr>
              <w:t xml:space="preserve"> с ООО Газпром Трансгаз Югорск»</w:t>
            </w:r>
          </w:p>
        </w:tc>
      </w:tr>
      <w:tr w:rsidR="00EF5DCF" w:rsidRPr="00F1088B" w:rsidTr="00BE7DDC">
        <w:tc>
          <w:tcPr>
            <w:tcW w:w="540" w:type="dxa"/>
          </w:tcPr>
          <w:p w:rsidR="00EF5DCF" w:rsidRPr="00DE2824" w:rsidRDefault="00EF5DCF" w:rsidP="002161C5">
            <w:pPr>
              <w:jc w:val="center"/>
              <w:rPr>
                <w:sz w:val="24"/>
                <w:szCs w:val="24"/>
              </w:rPr>
            </w:pPr>
            <w:r w:rsidRPr="00DE2824">
              <w:rPr>
                <w:sz w:val="24"/>
                <w:szCs w:val="24"/>
              </w:rPr>
              <w:t>8.</w:t>
            </w:r>
          </w:p>
        </w:tc>
        <w:tc>
          <w:tcPr>
            <w:tcW w:w="4820" w:type="dxa"/>
          </w:tcPr>
          <w:p w:rsidR="00EF5DCF" w:rsidRPr="00DE2824" w:rsidRDefault="00EF5DCF" w:rsidP="002161C5">
            <w:pPr>
              <w:jc w:val="both"/>
              <w:rPr>
                <w:sz w:val="24"/>
                <w:szCs w:val="24"/>
              </w:rPr>
            </w:pPr>
            <w:r w:rsidRPr="00DE2824">
              <w:rPr>
                <w:sz w:val="24"/>
                <w:szCs w:val="24"/>
              </w:rPr>
              <w:t xml:space="preserve">Строительство мостового перехода через реку Обь в районе поселка </w:t>
            </w:r>
            <w:proofErr w:type="spellStart"/>
            <w:r w:rsidRPr="00DE2824">
              <w:rPr>
                <w:sz w:val="24"/>
                <w:szCs w:val="24"/>
              </w:rPr>
              <w:t>Андра</w:t>
            </w:r>
            <w:proofErr w:type="spellEnd"/>
            <w:r w:rsidRPr="00DE2824">
              <w:rPr>
                <w:sz w:val="24"/>
                <w:szCs w:val="24"/>
              </w:rPr>
              <w:t xml:space="preserve"> Октябрьского района.</w:t>
            </w:r>
          </w:p>
        </w:tc>
        <w:tc>
          <w:tcPr>
            <w:tcW w:w="4218" w:type="dxa"/>
          </w:tcPr>
          <w:p w:rsidR="00EF5DCF" w:rsidRPr="00DE2824" w:rsidRDefault="00EF5DCF" w:rsidP="002161C5">
            <w:pPr>
              <w:jc w:val="both"/>
              <w:rPr>
                <w:sz w:val="24"/>
                <w:szCs w:val="24"/>
              </w:rPr>
            </w:pPr>
            <w:r w:rsidRPr="00DE2824">
              <w:rPr>
                <w:sz w:val="24"/>
                <w:szCs w:val="24"/>
              </w:rPr>
              <w:t>Включение в программу «Сотрудничество»</w:t>
            </w:r>
          </w:p>
        </w:tc>
      </w:tr>
      <w:tr w:rsidR="00EF5DCF" w:rsidRPr="00F1088B" w:rsidTr="00BE7DDC">
        <w:tc>
          <w:tcPr>
            <w:tcW w:w="540" w:type="dxa"/>
          </w:tcPr>
          <w:p w:rsidR="00EF5DCF" w:rsidRPr="00DE2824" w:rsidRDefault="00EF5DCF" w:rsidP="002161C5">
            <w:pPr>
              <w:jc w:val="center"/>
              <w:rPr>
                <w:sz w:val="24"/>
                <w:szCs w:val="24"/>
              </w:rPr>
            </w:pPr>
            <w:r w:rsidRPr="00DE2824">
              <w:rPr>
                <w:sz w:val="24"/>
                <w:szCs w:val="24"/>
              </w:rPr>
              <w:t>9.</w:t>
            </w:r>
          </w:p>
        </w:tc>
        <w:tc>
          <w:tcPr>
            <w:tcW w:w="4820" w:type="dxa"/>
          </w:tcPr>
          <w:p w:rsidR="00EF5DCF" w:rsidRPr="00DE2824" w:rsidRDefault="00EF5DCF" w:rsidP="002161C5">
            <w:pPr>
              <w:jc w:val="both"/>
              <w:rPr>
                <w:sz w:val="24"/>
                <w:szCs w:val="24"/>
              </w:rPr>
            </w:pPr>
            <w:r w:rsidRPr="00DE2824">
              <w:rPr>
                <w:sz w:val="24"/>
                <w:szCs w:val="24"/>
              </w:rPr>
              <w:t>Завершение строительства автомобильной дороги «Югорск – Советский – Верхний Казым – Надым (до границы ХМАО)» участок 434 км. – 475 км.</w:t>
            </w:r>
          </w:p>
        </w:tc>
        <w:tc>
          <w:tcPr>
            <w:tcW w:w="4218" w:type="dxa"/>
          </w:tcPr>
          <w:p w:rsidR="00EF5DCF" w:rsidRPr="00DE2824" w:rsidRDefault="00EF5DCF" w:rsidP="002161C5">
            <w:pPr>
              <w:jc w:val="both"/>
              <w:rPr>
                <w:sz w:val="24"/>
                <w:szCs w:val="24"/>
              </w:rPr>
            </w:pPr>
            <w:r w:rsidRPr="00DE2824">
              <w:rPr>
                <w:sz w:val="24"/>
                <w:szCs w:val="24"/>
              </w:rPr>
              <w:t>Включение в программу «Сотрудничество»</w:t>
            </w:r>
          </w:p>
        </w:tc>
      </w:tr>
      <w:tr w:rsidR="00EF5DCF" w:rsidRPr="00F1088B" w:rsidTr="00BE7DDC">
        <w:tc>
          <w:tcPr>
            <w:tcW w:w="540" w:type="dxa"/>
          </w:tcPr>
          <w:p w:rsidR="00EF5DCF" w:rsidRPr="00DE2824" w:rsidRDefault="00EF5DCF" w:rsidP="002161C5">
            <w:pPr>
              <w:jc w:val="center"/>
              <w:rPr>
                <w:sz w:val="24"/>
                <w:szCs w:val="24"/>
              </w:rPr>
            </w:pPr>
            <w:r w:rsidRPr="00DE2824">
              <w:rPr>
                <w:sz w:val="24"/>
                <w:szCs w:val="24"/>
              </w:rPr>
              <w:t>10.</w:t>
            </w:r>
          </w:p>
        </w:tc>
        <w:tc>
          <w:tcPr>
            <w:tcW w:w="4820" w:type="dxa"/>
          </w:tcPr>
          <w:p w:rsidR="00EF5DCF" w:rsidRPr="00DE2824" w:rsidRDefault="00EF5DCF" w:rsidP="002161C5">
            <w:pPr>
              <w:jc w:val="both"/>
              <w:rPr>
                <w:sz w:val="24"/>
                <w:szCs w:val="24"/>
              </w:rPr>
            </w:pPr>
            <w:r w:rsidRPr="00DE2824">
              <w:rPr>
                <w:sz w:val="24"/>
                <w:szCs w:val="24"/>
              </w:rPr>
              <w:t xml:space="preserve">Покрытие взлетно-посадочной полосы аэропорта </w:t>
            </w:r>
            <w:proofErr w:type="gramStart"/>
            <w:r w:rsidRPr="00DE2824">
              <w:rPr>
                <w:sz w:val="24"/>
                <w:szCs w:val="24"/>
              </w:rPr>
              <w:t>Белоярский</w:t>
            </w:r>
            <w:proofErr w:type="gramEnd"/>
            <w:r w:rsidRPr="00DE2824">
              <w:rPr>
                <w:sz w:val="24"/>
                <w:szCs w:val="24"/>
              </w:rPr>
              <w:t xml:space="preserve"> выполнить из асфальтобетона.</w:t>
            </w:r>
          </w:p>
        </w:tc>
        <w:tc>
          <w:tcPr>
            <w:tcW w:w="4218" w:type="dxa"/>
          </w:tcPr>
          <w:p w:rsidR="00EF5DCF" w:rsidRPr="00DE2824" w:rsidRDefault="00EF5DCF" w:rsidP="002161C5">
            <w:pPr>
              <w:jc w:val="both"/>
              <w:rPr>
                <w:sz w:val="24"/>
                <w:szCs w:val="24"/>
              </w:rPr>
            </w:pPr>
            <w:r w:rsidRPr="00DE2824">
              <w:rPr>
                <w:sz w:val="24"/>
                <w:szCs w:val="24"/>
              </w:rPr>
              <w:t xml:space="preserve"> Передача акций ОАО Аэропорт Белоярский и включение его в концепцию развития аэропортов Ханты-Мансийского автономного округа - Югры</w:t>
            </w:r>
          </w:p>
        </w:tc>
      </w:tr>
    </w:tbl>
    <w:p w:rsidR="00E9022C" w:rsidRPr="00F1088B" w:rsidRDefault="00E9022C" w:rsidP="002161C5">
      <w:pPr>
        <w:ind w:left="-567" w:firstLine="425"/>
        <w:jc w:val="center"/>
        <w:rPr>
          <w:b/>
          <w:color w:val="FF0000"/>
          <w:szCs w:val="24"/>
        </w:rPr>
      </w:pPr>
    </w:p>
    <w:p w:rsidR="00E9022C" w:rsidRPr="00F1088B" w:rsidRDefault="00E9022C" w:rsidP="002161C5">
      <w:pPr>
        <w:ind w:left="-567" w:firstLine="425"/>
        <w:jc w:val="center"/>
        <w:rPr>
          <w:b/>
          <w:color w:val="FF0000"/>
          <w:szCs w:val="24"/>
        </w:rPr>
      </w:pPr>
    </w:p>
    <w:p w:rsidR="00C435B3" w:rsidRPr="00F1088B" w:rsidRDefault="00C435B3" w:rsidP="002161C5">
      <w:pPr>
        <w:ind w:left="-567" w:firstLine="425"/>
        <w:jc w:val="center"/>
        <w:rPr>
          <w:b/>
          <w:color w:val="FF0000"/>
          <w:szCs w:val="24"/>
        </w:rPr>
      </w:pPr>
    </w:p>
    <w:p w:rsidR="00C435B3" w:rsidRPr="00F1088B" w:rsidRDefault="00C435B3" w:rsidP="002161C5">
      <w:pPr>
        <w:ind w:left="-567" w:firstLine="425"/>
        <w:jc w:val="center"/>
        <w:rPr>
          <w:b/>
          <w:color w:val="FF0000"/>
          <w:szCs w:val="24"/>
        </w:rPr>
      </w:pPr>
    </w:p>
    <w:p w:rsidR="00C435B3" w:rsidRPr="00F1088B" w:rsidRDefault="00C435B3" w:rsidP="002161C5">
      <w:pPr>
        <w:ind w:left="-567" w:firstLine="425"/>
        <w:jc w:val="center"/>
        <w:rPr>
          <w:b/>
          <w:color w:val="FF0000"/>
          <w:szCs w:val="24"/>
        </w:rPr>
      </w:pPr>
    </w:p>
    <w:sectPr w:rsidR="00C435B3" w:rsidRPr="00F1088B" w:rsidSect="004739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75D04"/>
    <w:multiLevelType w:val="hybridMultilevel"/>
    <w:tmpl w:val="55CE54AA"/>
    <w:lvl w:ilvl="0" w:tplc="4DC87BB8">
      <w:start w:val="1"/>
      <w:numFmt w:val="bullet"/>
      <w:lvlText w:val=""/>
      <w:lvlJc w:val="left"/>
      <w:pPr>
        <w:tabs>
          <w:tab w:val="num" w:pos="1567"/>
        </w:tabs>
        <w:ind w:left="1567" w:hanging="360"/>
      </w:pPr>
      <w:rPr>
        <w:rFonts w:ascii="Symbol" w:hAnsi="Symbol" w:hint="default"/>
        <w:color w:val="auto"/>
      </w:rPr>
    </w:lvl>
    <w:lvl w:ilvl="1" w:tplc="4DC87BB8">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C53AD1"/>
    <w:multiLevelType w:val="hybridMultilevel"/>
    <w:tmpl w:val="6D746E66"/>
    <w:lvl w:ilvl="0" w:tplc="C714FC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4D5013"/>
    <w:multiLevelType w:val="hybridMultilevel"/>
    <w:tmpl w:val="74541A0C"/>
    <w:lvl w:ilvl="0" w:tplc="C714FCE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AF77401"/>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30D355D6"/>
    <w:multiLevelType w:val="hybridMultilevel"/>
    <w:tmpl w:val="54C0E22E"/>
    <w:lvl w:ilvl="0" w:tplc="10A03CF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313D3B23"/>
    <w:multiLevelType w:val="hybridMultilevel"/>
    <w:tmpl w:val="DB3E61EE"/>
    <w:lvl w:ilvl="0" w:tplc="6A8E39EC">
      <w:start w:val="1"/>
      <w:numFmt w:val="bullet"/>
      <w:lvlText w:val=""/>
      <w:lvlJc w:val="left"/>
      <w:pPr>
        <w:tabs>
          <w:tab w:val="num" w:pos="2047"/>
        </w:tabs>
        <w:ind w:left="2047" w:hanging="360"/>
      </w:pPr>
      <w:rPr>
        <w:rFonts w:ascii="Symbol" w:hAnsi="Symbol" w:hint="default"/>
        <w:color w:val="auto"/>
      </w:rPr>
    </w:lvl>
    <w:lvl w:ilvl="1" w:tplc="6A8E39EC">
      <w:start w:val="1"/>
      <w:numFmt w:val="bullet"/>
      <w:lvlText w:val=""/>
      <w:lvlJc w:val="left"/>
      <w:pPr>
        <w:tabs>
          <w:tab w:val="num" w:pos="1980"/>
        </w:tabs>
        <w:ind w:left="1980" w:hanging="360"/>
      </w:pPr>
      <w:rPr>
        <w:rFonts w:ascii="Symbol" w:hAnsi="Symbol"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4A974823"/>
    <w:multiLevelType w:val="hybridMultilevel"/>
    <w:tmpl w:val="5308BD32"/>
    <w:lvl w:ilvl="0" w:tplc="C714FC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CC0085A"/>
    <w:multiLevelType w:val="hybridMultilevel"/>
    <w:tmpl w:val="11486032"/>
    <w:lvl w:ilvl="0" w:tplc="92FEBFB0">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606B2266"/>
    <w:multiLevelType w:val="hybridMultilevel"/>
    <w:tmpl w:val="C6F42534"/>
    <w:lvl w:ilvl="0" w:tplc="C714FC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CA703F"/>
    <w:multiLevelType w:val="hybridMultilevel"/>
    <w:tmpl w:val="ED5466C2"/>
    <w:lvl w:ilvl="0" w:tplc="C714FCE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773E4609"/>
    <w:multiLevelType w:val="hybridMultilevel"/>
    <w:tmpl w:val="09AE9906"/>
    <w:lvl w:ilvl="0" w:tplc="6A8E39EC">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2227"/>
        </w:tabs>
        <w:ind w:left="2227" w:hanging="360"/>
      </w:pPr>
      <w:rPr>
        <w:rFonts w:ascii="Courier New" w:hAnsi="Courier New" w:cs="Courier New" w:hint="default"/>
      </w:rPr>
    </w:lvl>
    <w:lvl w:ilvl="2" w:tplc="04190005" w:tentative="1">
      <w:start w:val="1"/>
      <w:numFmt w:val="bullet"/>
      <w:lvlText w:val=""/>
      <w:lvlJc w:val="left"/>
      <w:pPr>
        <w:tabs>
          <w:tab w:val="num" w:pos="2947"/>
        </w:tabs>
        <w:ind w:left="2947" w:hanging="360"/>
      </w:pPr>
      <w:rPr>
        <w:rFonts w:ascii="Wingdings" w:hAnsi="Wingdings" w:hint="default"/>
      </w:rPr>
    </w:lvl>
    <w:lvl w:ilvl="3" w:tplc="04190001" w:tentative="1">
      <w:start w:val="1"/>
      <w:numFmt w:val="bullet"/>
      <w:lvlText w:val=""/>
      <w:lvlJc w:val="left"/>
      <w:pPr>
        <w:tabs>
          <w:tab w:val="num" w:pos="3667"/>
        </w:tabs>
        <w:ind w:left="3667" w:hanging="360"/>
      </w:pPr>
      <w:rPr>
        <w:rFonts w:ascii="Symbol" w:hAnsi="Symbol" w:hint="default"/>
      </w:rPr>
    </w:lvl>
    <w:lvl w:ilvl="4" w:tplc="04190003" w:tentative="1">
      <w:start w:val="1"/>
      <w:numFmt w:val="bullet"/>
      <w:lvlText w:val="o"/>
      <w:lvlJc w:val="left"/>
      <w:pPr>
        <w:tabs>
          <w:tab w:val="num" w:pos="4387"/>
        </w:tabs>
        <w:ind w:left="4387" w:hanging="360"/>
      </w:pPr>
      <w:rPr>
        <w:rFonts w:ascii="Courier New" w:hAnsi="Courier New" w:cs="Courier New" w:hint="default"/>
      </w:rPr>
    </w:lvl>
    <w:lvl w:ilvl="5" w:tplc="04190005" w:tentative="1">
      <w:start w:val="1"/>
      <w:numFmt w:val="bullet"/>
      <w:lvlText w:val=""/>
      <w:lvlJc w:val="left"/>
      <w:pPr>
        <w:tabs>
          <w:tab w:val="num" w:pos="5107"/>
        </w:tabs>
        <w:ind w:left="5107" w:hanging="360"/>
      </w:pPr>
      <w:rPr>
        <w:rFonts w:ascii="Wingdings" w:hAnsi="Wingdings" w:hint="default"/>
      </w:rPr>
    </w:lvl>
    <w:lvl w:ilvl="6" w:tplc="04190001" w:tentative="1">
      <w:start w:val="1"/>
      <w:numFmt w:val="bullet"/>
      <w:lvlText w:val=""/>
      <w:lvlJc w:val="left"/>
      <w:pPr>
        <w:tabs>
          <w:tab w:val="num" w:pos="5827"/>
        </w:tabs>
        <w:ind w:left="5827" w:hanging="360"/>
      </w:pPr>
      <w:rPr>
        <w:rFonts w:ascii="Symbol" w:hAnsi="Symbol" w:hint="default"/>
      </w:rPr>
    </w:lvl>
    <w:lvl w:ilvl="7" w:tplc="04190003" w:tentative="1">
      <w:start w:val="1"/>
      <w:numFmt w:val="bullet"/>
      <w:lvlText w:val="o"/>
      <w:lvlJc w:val="left"/>
      <w:pPr>
        <w:tabs>
          <w:tab w:val="num" w:pos="6547"/>
        </w:tabs>
        <w:ind w:left="6547" w:hanging="360"/>
      </w:pPr>
      <w:rPr>
        <w:rFonts w:ascii="Courier New" w:hAnsi="Courier New" w:cs="Courier New" w:hint="default"/>
      </w:rPr>
    </w:lvl>
    <w:lvl w:ilvl="8" w:tplc="04190005" w:tentative="1">
      <w:start w:val="1"/>
      <w:numFmt w:val="bullet"/>
      <w:lvlText w:val=""/>
      <w:lvlJc w:val="left"/>
      <w:pPr>
        <w:tabs>
          <w:tab w:val="num" w:pos="7267"/>
        </w:tabs>
        <w:ind w:left="7267" w:hanging="360"/>
      </w:pPr>
      <w:rPr>
        <w:rFonts w:ascii="Wingdings" w:hAnsi="Wingdings" w:hint="default"/>
      </w:rPr>
    </w:lvl>
  </w:abstractNum>
  <w:num w:numId="1">
    <w:abstractNumId w:val="10"/>
  </w:num>
  <w:num w:numId="2">
    <w:abstractNumId w:val="3"/>
  </w:num>
  <w:num w:numId="3">
    <w:abstractNumId w:val="4"/>
  </w:num>
  <w:num w:numId="4">
    <w:abstractNumId w:val="5"/>
  </w:num>
  <w:num w:numId="5">
    <w:abstractNumId w:val="0"/>
  </w:num>
  <w:num w:numId="6">
    <w:abstractNumId w:val="6"/>
  </w:num>
  <w:num w:numId="7">
    <w:abstractNumId w:val="9"/>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298D"/>
    <w:rsid w:val="00003EDF"/>
    <w:rsid w:val="000148FD"/>
    <w:rsid w:val="00016A0E"/>
    <w:rsid w:val="00033E71"/>
    <w:rsid w:val="00036DB5"/>
    <w:rsid w:val="00040407"/>
    <w:rsid w:val="000430F5"/>
    <w:rsid w:val="0004427B"/>
    <w:rsid w:val="00080B1C"/>
    <w:rsid w:val="00082EE0"/>
    <w:rsid w:val="000A1EA9"/>
    <w:rsid w:val="000A31CC"/>
    <w:rsid w:val="000B589D"/>
    <w:rsid w:val="000C1ACA"/>
    <w:rsid w:val="000D1D5A"/>
    <w:rsid w:val="000D492C"/>
    <w:rsid w:val="000D72C2"/>
    <w:rsid w:val="000E23A0"/>
    <w:rsid w:val="00102CC7"/>
    <w:rsid w:val="0011064F"/>
    <w:rsid w:val="00112EE9"/>
    <w:rsid w:val="0011587C"/>
    <w:rsid w:val="00132A40"/>
    <w:rsid w:val="00134186"/>
    <w:rsid w:val="00137205"/>
    <w:rsid w:val="0014404E"/>
    <w:rsid w:val="001565D3"/>
    <w:rsid w:val="0016120E"/>
    <w:rsid w:val="00165889"/>
    <w:rsid w:val="00176474"/>
    <w:rsid w:val="001840EA"/>
    <w:rsid w:val="0019035B"/>
    <w:rsid w:val="001A5F91"/>
    <w:rsid w:val="001B32EF"/>
    <w:rsid w:val="001B7861"/>
    <w:rsid w:val="001C6E3D"/>
    <w:rsid w:val="001D17E4"/>
    <w:rsid w:val="001D46A7"/>
    <w:rsid w:val="001E1308"/>
    <w:rsid w:val="001F24B7"/>
    <w:rsid w:val="001F2BB4"/>
    <w:rsid w:val="00203675"/>
    <w:rsid w:val="002161C5"/>
    <w:rsid w:val="00220C78"/>
    <w:rsid w:val="002262AA"/>
    <w:rsid w:val="00227273"/>
    <w:rsid w:val="0023542C"/>
    <w:rsid w:val="00240C36"/>
    <w:rsid w:val="0024105F"/>
    <w:rsid w:val="00250B6E"/>
    <w:rsid w:val="00254B5D"/>
    <w:rsid w:val="002644F0"/>
    <w:rsid w:val="00280554"/>
    <w:rsid w:val="00281AC0"/>
    <w:rsid w:val="00282BA6"/>
    <w:rsid w:val="00283BDD"/>
    <w:rsid w:val="0029298D"/>
    <w:rsid w:val="00295E2C"/>
    <w:rsid w:val="002A0F72"/>
    <w:rsid w:val="002B449B"/>
    <w:rsid w:val="002C12AF"/>
    <w:rsid w:val="002C1BD8"/>
    <w:rsid w:val="002C1D02"/>
    <w:rsid w:val="002C5149"/>
    <w:rsid w:val="002D12D5"/>
    <w:rsid w:val="002D4FDD"/>
    <w:rsid w:val="002E36F1"/>
    <w:rsid w:val="002E6982"/>
    <w:rsid w:val="002F1571"/>
    <w:rsid w:val="002F163E"/>
    <w:rsid w:val="002F4052"/>
    <w:rsid w:val="002F6F64"/>
    <w:rsid w:val="003016A9"/>
    <w:rsid w:val="00303299"/>
    <w:rsid w:val="003067D9"/>
    <w:rsid w:val="003100C6"/>
    <w:rsid w:val="00315A02"/>
    <w:rsid w:val="00337184"/>
    <w:rsid w:val="00341997"/>
    <w:rsid w:val="00341D90"/>
    <w:rsid w:val="0036029F"/>
    <w:rsid w:val="00380752"/>
    <w:rsid w:val="00380B82"/>
    <w:rsid w:val="00386CDF"/>
    <w:rsid w:val="00387F24"/>
    <w:rsid w:val="00394EC6"/>
    <w:rsid w:val="0039607C"/>
    <w:rsid w:val="003A036D"/>
    <w:rsid w:val="003B04FD"/>
    <w:rsid w:val="003B169A"/>
    <w:rsid w:val="003C05B6"/>
    <w:rsid w:val="003C2AA8"/>
    <w:rsid w:val="003C2D1A"/>
    <w:rsid w:val="003C63C2"/>
    <w:rsid w:val="003D3FF2"/>
    <w:rsid w:val="003F020E"/>
    <w:rsid w:val="003F48E4"/>
    <w:rsid w:val="00417D03"/>
    <w:rsid w:val="00432C71"/>
    <w:rsid w:val="0043663E"/>
    <w:rsid w:val="00440D66"/>
    <w:rsid w:val="00444266"/>
    <w:rsid w:val="00453E1A"/>
    <w:rsid w:val="00461BCE"/>
    <w:rsid w:val="00471994"/>
    <w:rsid w:val="00473974"/>
    <w:rsid w:val="0048072E"/>
    <w:rsid w:val="004978A5"/>
    <w:rsid w:val="004A470A"/>
    <w:rsid w:val="004A4C6C"/>
    <w:rsid w:val="004A5DF5"/>
    <w:rsid w:val="004B7E5D"/>
    <w:rsid w:val="004C1AC2"/>
    <w:rsid w:val="004C221F"/>
    <w:rsid w:val="004C7F50"/>
    <w:rsid w:val="004D2E1F"/>
    <w:rsid w:val="004D580E"/>
    <w:rsid w:val="004E7C0A"/>
    <w:rsid w:val="00515E70"/>
    <w:rsid w:val="0052051D"/>
    <w:rsid w:val="00522630"/>
    <w:rsid w:val="005268DD"/>
    <w:rsid w:val="005357B2"/>
    <w:rsid w:val="005378F4"/>
    <w:rsid w:val="005425AF"/>
    <w:rsid w:val="00565F10"/>
    <w:rsid w:val="00580CB6"/>
    <w:rsid w:val="0058632C"/>
    <w:rsid w:val="005A4876"/>
    <w:rsid w:val="005B0911"/>
    <w:rsid w:val="005B10CE"/>
    <w:rsid w:val="005B1BA2"/>
    <w:rsid w:val="005C215F"/>
    <w:rsid w:val="005D0E69"/>
    <w:rsid w:val="005D63A4"/>
    <w:rsid w:val="005D77C2"/>
    <w:rsid w:val="005D782D"/>
    <w:rsid w:val="005D7B83"/>
    <w:rsid w:val="005E4DC6"/>
    <w:rsid w:val="005F3AC4"/>
    <w:rsid w:val="005F56C0"/>
    <w:rsid w:val="0061425F"/>
    <w:rsid w:val="00614CE5"/>
    <w:rsid w:val="00622AB2"/>
    <w:rsid w:val="006438B3"/>
    <w:rsid w:val="00643988"/>
    <w:rsid w:val="00646E06"/>
    <w:rsid w:val="00651AA7"/>
    <w:rsid w:val="00664964"/>
    <w:rsid w:val="00695849"/>
    <w:rsid w:val="0069695F"/>
    <w:rsid w:val="006A484A"/>
    <w:rsid w:val="006C0587"/>
    <w:rsid w:val="006D496B"/>
    <w:rsid w:val="006D7699"/>
    <w:rsid w:val="006E30DC"/>
    <w:rsid w:val="006E4764"/>
    <w:rsid w:val="006F0522"/>
    <w:rsid w:val="0070675C"/>
    <w:rsid w:val="0071515D"/>
    <w:rsid w:val="0074073E"/>
    <w:rsid w:val="00740F04"/>
    <w:rsid w:val="00742C94"/>
    <w:rsid w:val="00743592"/>
    <w:rsid w:val="00751121"/>
    <w:rsid w:val="00753C2E"/>
    <w:rsid w:val="00770C62"/>
    <w:rsid w:val="0077512F"/>
    <w:rsid w:val="00781AFB"/>
    <w:rsid w:val="007946F8"/>
    <w:rsid w:val="007A573E"/>
    <w:rsid w:val="007B34E8"/>
    <w:rsid w:val="007E0FE8"/>
    <w:rsid w:val="007F7924"/>
    <w:rsid w:val="00800FCC"/>
    <w:rsid w:val="00803128"/>
    <w:rsid w:val="0082009E"/>
    <w:rsid w:val="00821E4F"/>
    <w:rsid w:val="00826029"/>
    <w:rsid w:val="008266D0"/>
    <w:rsid w:val="00827DC6"/>
    <w:rsid w:val="008414DC"/>
    <w:rsid w:val="008430E0"/>
    <w:rsid w:val="008817EE"/>
    <w:rsid w:val="00890C53"/>
    <w:rsid w:val="008A2742"/>
    <w:rsid w:val="008B11AB"/>
    <w:rsid w:val="008B725F"/>
    <w:rsid w:val="008C51DC"/>
    <w:rsid w:val="008D1586"/>
    <w:rsid w:val="008D1FBC"/>
    <w:rsid w:val="008E1E47"/>
    <w:rsid w:val="008E49F7"/>
    <w:rsid w:val="008E58E5"/>
    <w:rsid w:val="008F0403"/>
    <w:rsid w:val="008F0872"/>
    <w:rsid w:val="00900A62"/>
    <w:rsid w:val="00905F73"/>
    <w:rsid w:val="00912A04"/>
    <w:rsid w:val="00925388"/>
    <w:rsid w:val="0092709D"/>
    <w:rsid w:val="00950C54"/>
    <w:rsid w:val="00950DD4"/>
    <w:rsid w:val="00954023"/>
    <w:rsid w:val="00954B4F"/>
    <w:rsid w:val="009708E0"/>
    <w:rsid w:val="00971A0B"/>
    <w:rsid w:val="009740A5"/>
    <w:rsid w:val="009861B2"/>
    <w:rsid w:val="00991D79"/>
    <w:rsid w:val="009A32A6"/>
    <w:rsid w:val="009A6A05"/>
    <w:rsid w:val="009B18F6"/>
    <w:rsid w:val="009B58BA"/>
    <w:rsid w:val="009C1FA6"/>
    <w:rsid w:val="009D7388"/>
    <w:rsid w:val="009E2A35"/>
    <w:rsid w:val="009F6B0A"/>
    <w:rsid w:val="009F72DE"/>
    <w:rsid w:val="00A017A5"/>
    <w:rsid w:val="00A03CFF"/>
    <w:rsid w:val="00A264C6"/>
    <w:rsid w:val="00A31F23"/>
    <w:rsid w:val="00A40994"/>
    <w:rsid w:val="00A60798"/>
    <w:rsid w:val="00A6372C"/>
    <w:rsid w:val="00A64815"/>
    <w:rsid w:val="00A66342"/>
    <w:rsid w:val="00A6725D"/>
    <w:rsid w:val="00A745AD"/>
    <w:rsid w:val="00A81F8A"/>
    <w:rsid w:val="00A82851"/>
    <w:rsid w:val="00A836D9"/>
    <w:rsid w:val="00A945F1"/>
    <w:rsid w:val="00AA0A51"/>
    <w:rsid w:val="00AA50C0"/>
    <w:rsid w:val="00AA6CD1"/>
    <w:rsid w:val="00AA781C"/>
    <w:rsid w:val="00AB2388"/>
    <w:rsid w:val="00AB366C"/>
    <w:rsid w:val="00AB3E39"/>
    <w:rsid w:val="00AC2C56"/>
    <w:rsid w:val="00AD509F"/>
    <w:rsid w:val="00AF6C9A"/>
    <w:rsid w:val="00B04D78"/>
    <w:rsid w:val="00B143C5"/>
    <w:rsid w:val="00B31D52"/>
    <w:rsid w:val="00B477CF"/>
    <w:rsid w:val="00B5032D"/>
    <w:rsid w:val="00B5217E"/>
    <w:rsid w:val="00B8588F"/>
    <w:rsid w:val="00B90D6F"/>
    <w:rsid w:val="00B93B7E"/>
    <w:rsid w:val="00B95D01"/>
    <w:rsid w:val="00B960C1"/>
    <w:rsid w:val="00BA09A7"/>
    <w:rsid w:val="00BC622A"/>
    <w:rsid w:val="00BD7508"/>
    <w:rsid w:val="00BE1082"/>
    <w:rsid w:val="00BE7DDC"/>
    <w:rsid w:val="00BF05CF"/>
    <w:rsid w:val="00BF082A"/>
    <w:rsid w:val="00C35D81"/>
    <w:rsid w:val="00C37825"/>
    <w:rsid w:val="00C37F20"/>
    <w:rsid w:val="00C42E84"/>
    <w:rsid w:val="00C435B3"/>
    <w:rsid w:val="00C558E0"/>
    <w:rsid w:val="00C643BD"/>
    <w:rsid w:val="00CB20BE"/>
    <w:rsid w:val="00CD0A46"/>
    <w:rsid w:val="00CD3BBA"/>
    <w:rsid w:val="00D0544F"/>
    <w:rsid w:val="00D05455"/>
    <w:rsid w:val="00D14101"/>
    <w:rsid w:val="00D37E1D"/>
    <w:rsid w:val="00D473B6"/>
    <w:rsid w:val="00D53388"/>
    <w:rsid w:val="00D71CF6"/>
    <w:rsid w:val="00D74469"/>
    <w:rsid w:val="00D8571C"/>
    <w:rsid w:val="00D86261"/>
    <w:rsid w:val="00D86279"/>
    <w:rsid w:val="00D92907"/>
    <w:rsid w:val="00D93D53"/>
    <w:rsid w:val="00D97F17"/>
    <w:rsid w:val="00DB5CC2"/>
    <w:rsid w:val="00DC4465"/>
    <w:rsid w:val="00DE0D69"/>
    <w:rsid w:val="00DE2824"/>
    <w:rsid w:val="00DF0E2E"/>
    <w:rsid w:val="00DF7521"/>
    <w:rsid w:val="00E23363"/>
    <w:rsid w:val="00E317BC"/>
    <w:rsid w:val="00E42755"/>
    <w:rsid w:val="00E45214"/>
    <w:rsid w:val="00E465C2"/>
    <w:rsid w:val="00E54353"/>
    <w:rsid w:val="00E54E6D"/>
    <w:rsid w:val="00E63671"/>
    <w:rsid w:val="00E74E4D"/>
    <w:rsid w:val="00E75305"/>
    <w:rsid w:val="00E9022C"/>
    <w:rsid w:val="00E9732B"/>
    <w:rsid w:val="00EB0DEE"/>
    <w:rsid w:val="00EC7530"/>
    <w:rsid w:val="00ED1082"/>
    <w:rsid w:val="00ED4644"/>
    <w:rsid w:val="00EE3085"/>
    <w:rsid w:val="00EE4FD9"/>
    <w:rsid w:val="00EF5DCF"/>
    <w:rsid w:val="00F0204B"/>
    <w:rsid w:val="00F027A2"/>
    <w:rsid w:val="00F07432"/>
    <w:rsid w:val="00F079AA"/>
    <w:rsid w:val="00F1088B"/>
    <w:rsid w:val="00F10983"/>
    <w:rsid w:val="00F160FA"/>
    <w:rsid w:val="00F16633"/>
    <w:rsid w:val="00F46466"/>
    <w:rsid w:val="00F53FFD"/>
    <w:rsid w:val="00F5703E"/>
    <w:rsid w:val="00F60731"/>
    <w:rsid w:val="00F7511A"/>
    <w:rsid w:val="00F802CF"/>
    <w:rsid w:val="00FC380B"/>
    <w:rsid w:val="00FC6622"/>
    <w:rsid w:val="00FD3F3B"/>
    <w:rsid w:val="00FD6001"/>
    <w:rsid w:val="00FF15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98D"/>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29298D"/>
    <w:pPr>
      <w:keepNext/>
      <w:numPr>
        <w:numId w:val="2"/>
      </w:numPr>
      <w:jc w:val="both"/>
      <w:outlineLvl w:val="0"/>
    </w:pPr>
    <w:rPr>
      <w:i/>
    </w:rPr>
  </w:style>
  <w:style w:type="paragraph" w:styleId="2">
    <w:name w:val="heading 2"/>
    <w:basedOn w:val="a"/>
    <w:next w:val="a"/>
    <w:link w:val="20"/>
    <w:qFormat/>
    <w:rsid w:val="0029298D"/>
    <w:pPr>
      <w:keepNext/>
      <w:numPr>
        <w:ilvl w:val="1"/>
        <w:numId w:val="2"/>
      </w:numPr>
      <w:spacing w:before="240" w:after="60"/>
      <w:outlineLvl w:val="1"/>
    </w:pPr>
    <w:rPr>
      <w:rFonts w:ascii="Arial" w:hAnsi="Arial" w:cs="Arial"/>
      <w:b/>
      <w:bCs/>
      <w:i/>
      <w:iCs/>
      <w:sz w:val="28"/>
      <w:szCs w:val="28"/>
    </w:rPr>
  </w:style>
  <w:style w:type="paragraph" w:styleId="3">
    <w:name w:val="heading 3"/>
    <w:basedOn w:val="a"/>
    <w:next w:val="a"/>
    <w:link w:val="30"/>
    <w:qFormat/>
    <w:rsid w:val="0029298D"/>
    <w:pPr>
      <w:keepNext/>
      <w:numPr>
        <w:ilvl w:val="2"/>
        <w:numId w:val="2"/>
      </w:numPr>
      <w:spacing w:before="240" w:after="60"/>
      <w:outlineLvl w:val="2"/>
    </w:pPr>
    <w:rPr>
      <w:rFonts w:ascii="Arial" w:hAnsi="Arial" w:cs="Arial"/>
      <w:b/>
      <w:bCs/>
      <w:sz w:val="26"/>
      <w:szCs w:val="26"/>
    </w:rPr>
  </w:style>
  <w:style w:type="paragraph" w:styleId="4">
    <w:name w:val="heading 4"/>
    <w:basedOn w:val="a"/>
    <w:next w:val="a"/>
    <w:link w:val="40"/>
    <w:qFormat/>
    <w:rsid w:val="0029298D"/>
    <w:pPr>
      <w:keepNext/>
      <w:numPr>
        <w:ilvl w:val="3"/>
        <w:numId w:val="2"/>
      </w:numPr>
      <w:spacing w:before="240" w:after="60"/>
      <w:outlineLvl w:val="3"/>
    </w:pPr>
    <w:rPr>
      <w:b/>
      <w:bCs/>
      <w:sz w:val="28"/>
      <w:szCs w:val="28"/>
    </w:rPr>
  </w:style>
  <w:style w:type="paragraph" w:styleId="5">
    <w:name w:val="heading 5"/>
    <w:basedOn w:val="a"/>
    <w:next w:val="a"/>
    <w:link w:val="50"/>
    <w:qFormat/>
    <w:rsid w:val="0029298D"/>
    <w:pPr>
      <w:numPr>
        <w:ilvl w:val="4"/>
        <w:numId w:val="2"/>
      </w:numPr>
      <w:spacing w:before="240" w:after="60"/>
      <w:outlineLvl w:val="4"/>
    </w:pPr>
    <w:rPr>
      <w:b/>
      <w:bCs/>
      <w:i/>
      <w:iCs/>
      <w:sz w:val="26"/>
      <w:szCs w:val="26"/>
    </w:rPr>
  </w:style>
  <w:style w:type="paragraph" w:styleId="6">
    <w:name w:val="heading 6"/>
    <w:basedOn w:val="a"/>
    <w:next w:val="a"/>
    <w:link w:val="60"/>
    <w:qFormat/>
    <w:rsid w:val="0029298D"/>
    <w:pPr>
      <w:numPr>
        <w:ilvl w:val="5"/>
        <w:numId w:val="2"/>
      </w:numPr>
      <w:spacing w:before="240" w:after="60"/>
      <w:outlineLvl w:val="5"/>
    </w:pPr>
    <w:rPr>
      <w:b/>
      <w:bCs/>
      <w:sz w:val="22"/>
      <w:szCs w:val="22"/>
    </w:rPr>
  </w:style>
  <w:style w:type="paragraph" w:styleId="7">
    <w:name w:val="heading 7"/>
    <w:basedOn w:val="a"/>
    <w:next w:val="a"/>
    <w:link w:val="70"/>
    <w:qFormat/>
    <w:rsid w:val="0029298D"/>
    <w:pPr>
      <w:numPr>
        <w:ilvl w:val="6"/>
        <w:numId w:val="2"/>
      </w:numPr>
      <w:spacing w:before="240" w:after="60"/>
      <w:outlineLvl w:val="6"/>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9298D"/>
    <w:pPr>
      <w:spacing w:after="120"/>
    </w:pPr>
  </w:style>
  <w:style w:type="character" w:customStyle="1" w:styleId="a4">
    <w:name w:val="Основной текст Знак"/>
    <w:basedOn w:val="a0"/>
    <w:link w:val="a3"/>
    <w:rsid w:val="0029298D"/>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29298D"/>
    <w:rPr>
      <w:rFonts w:ascii="Tahoma" w:hAnsi="Tahoma" w:cs="Tahoma"/>
      <w:sz w:val="16"/>
      <w:szCs w:val="16"/>
    </w:rPr>
  </w:style>
  <w:style w:type="character" w:customStyle="1" w:styleId="a6">
    <w:name w:val="Текст выноски Знак"/>
    <w:basedOn w:val="a0"/>
    <w:link w:val="a5"/>
    <w:uiPriority w:val="99"/>
    <w:semiHidden/>
    <w:rsid w:val="0029298D"/>
    <w:rPr>
      <w:rFonts w:ascii="Tahoma" w:eastAsia="Times New Roman" w:hAnsi="Tahoma" w:cs="Tahoma"/>
      <w:sz w:val="16"/>
      <w:szCs w:val="16"/>
      <w:lang w:eastAsia="ru-RU"/>
    </w:rPr>
  </w:style>
  <w:style w:type="character" w:customStyle="1" w:styleId="10">
    <w:name w:val="Заголовок 1 Знак"/>
    <w:basedOn w:val="a0"/>
    <w:link w:val="1"/>
    <w:rsid w:val="0029298D"/>
    <w:rPr>
      <w:rFonts w:ascii="Times New Roman" w:eastAsia="Times New Roman" w:hAnsi="Times New Roman" w:cs="Times New Roman"/>
      <w:i/>
      <w:sz w:val="24"/>
      <w:szCs w:val="20"/>
      <w:lang w:eastAsia="ru-RU"/>
    </w:rPr>
  </w:style>
  <w:style w:type="character" w:customStyle="1" w:styleId="20">
    <w:name w:val="Заголовок 2 Знак"/>
    <w:basedOn w:val="a0"/>
    <w:link w:val="2"/>
    <w:rsid w:val="0029298D"/>
    <w:rPr>
      <w:rFonts w:ascii="Arial" w:eastAsia="Times New Roman" w:hAnsi="Arial" w:cs="Arial"/>
      <w:b/>
      <w:bCs/>
      <w:i/>
      <w:iCs/>
      <w:sz w:val="28"/>
      <w:szCs w:val="28"/>
      <w:lang w:eastAsia="ru-RU"/>
    </w:rPr>
  </w:style>
  <w:style w:type="character" w:customStyle="1" w:styleId="30">
    <w:name w:val="Заголовок 3 Знак"/>
    <w:basedOn w:val="a0"/>
    <w:link w:val="3"/>
    <w:rsid w:val="0029298D"/>
    <w:rPr>
      <w:rFonts w:ascii="Arial" w:eastAsia="Times New Roman" w:hAnsi="Arial" w:cs="Arial"/>
      <w:b/>
      <w:bCs/>
      <w:sz w:val="26"/>
      <w:szCs w:val="26"/>
      <w:lang w:eastAsia="ru-RU"/>
    </w:rPr>
  </w:style>
  <w:style w:type="character" w:customStyle="1" w:styleId="40">
    <w:name w:val="Заголовок 4 Знак"/>
    <w:basedOn w:val="a0"/>
    <w:link w:val="4"/>
    <w:rsid w:val="0029298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9298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9298D"/>
    <w:rPr>
      <w:rFonts w:ascii="Times New Roman" w:eastAsia="Times New Roman" w:hAnsi="Times New Roman" w:cs="Times New Roman"/>
      <w:b/>
      <w:bCs/>
      <w:lang w:eastAsia="ru-RU"/>
    </w:rPr>
  </w:style>
  <w:style w:type="character" w:customStyle="1" w:styleId="70">
    <w:name w:val="Заголовок 7 Знак"/>
    <w:basedOn w:val="a0"/>
    <w:link w:val="7"/>
    <w:rsid w:val="0029298D"/>
    <w:rPr>
      <w:rFonts w:ascii="Times New Roman" w:eastAsia="Times New Roman" w:hAnsi="Times New Roman" w:cs="Times New Roman"/>
      <w:sz w:val="24"/>
      <w:szCs w:val="24"/>
      <w:lang w:eastAsia="ru-RU"/>
    </w:rPr>
  </w:style>
  <w:style w:type="paragraph" w:styleId="a7">
    <w:name w:val="List Paragraph"/>
    <w:basedOn w:val="a"/>
    <w:qFormat/>
    <w:rsid w:val="0029298D"/>
    <w:pPr>
      <w:ind w:left="720"/>
      <w:contextualSpacing/>
    </w:pPr>
    <w:rPr>
      <w:sz w:val="20"/>
    </w:rPr>
  </w:style>
  <w:style w:type="paragraph" w:styleId="31">
    <w:name w:val="Body Text 3"/>
    <w:basedOn w:val="a"/>
    <w:link w:val="32"/>
    <w:rsid w:val="0029298D"/>
    <w:pPr>
      <w:spacing w:after="120"/>
    </w:pPr>
    <w:rPr>
      <w:sz w:val="16"/>
      <w:szCs w:val="16"/>
    </w:rPr>
  </w:style>
  <w:style w:type="character" w:customStyle="1" w:styleId="32">
    <w:name w:val="Основной текст 3 Знак"/>
    <w:basedOn w:val="a0"/>
    <w:link w:val="31"/>
    <w:rsid w:val="0029298D"/>
    <w:rPr>
      <w:rFonts w:ascii="Times New Roman" w:eastAsia="Times New Roman" w:hAnsi="Times New Roman" w:cs="Times New Roman"/>
      <w:sz w:val="16"/>
      <w:szCs w:val="16"/>
      <w:lang w:eastAsia="ru-RU"/>
    </w:rPr>
  </w:style>
  <w:style w:type="paragraph" w:styleId="a8">
    <w:name w:val="Body Text Indent"/>
    <w:basedOn w:val="a"/>
    <w:link w:val="a9"/>
    <w:uiPriority w:val="99"/>
    <w:semiHidden/>
    <w:unhideWhenUsed/>
    <w:rsid w:val="0029298D"/>
    <w:pPr>
      <w:spacing w:after="120"/>
      <w:ind w:left="283"/>
    </w:pPr>
  </w:style>
  <w:style w:type="character" w:customStyle="1" w:styleId="a9">
    <w:name w:val="Основной текст с отступом Знак"/>
    <w:basedOn w:val="a0"/>
    <w:link w:val="a8"/>
    <w:uiPriority w:val="99"/>
    <w:semiHidden/>
    <w:rsid w:val="0029298D"/>
    <w:rPr>
      <w:rFonts w:ascii="Times New Roman" w:eastAsia="Times New Roman" w:hAnsi="Times New Roman" w:cs="Times New Roman"/>
      <w:sz w:val="24"/>
      <w:szCs w:val="20"/>
      <w:lang w:eastAsia="ru-RU"/>
    </w:rPr>
  </w:style>
  <w:style w:type="paragraph" w:styleId="aa">
    <w:name w:val="Title"/>
    <w:basedOn w:val="a"/>
    <w:link w:val="ab"/>
    <w:qFormat/>
    <w:rsid w:val="0029298D"/>
    <w:pPr>
      <w:jc w:val="center"/>
    </w:pPr>
    <w:rPr>
      <w:b/>
      <w:sz w:val="25"/>
    </w:rPr>
  </w:style>
  <w:style w:type="character" w:customStyle="1" w:styleId="ab">
    <w:name w:val="Название Знак"/>
    <w:basedOn w:val="a0"/>
    <w:link w:val="aa"/>
    <w:rsid w:val="0029298D"/>
    <w:rPr>
      <w:rFonts w:ascii="Times New Roman" w:eastAsia="Times New Roman" w:hAnsi="Times New Roman" w:cs="Times New Roman"/>
      <w:b/>
      <w:sz w:val="25"/>
      <w:szCs w:val="20"/>
      <w:lang w:eastAsia="ru-RU"/>
    </w:rPr>
  </w:style>
  <w:style w:type="paragraph" w:customStyle="1" w:styleId="ConsPlusNormal">
    <w:name w:val="ConsPlusNormal"/>
    <w:rsid w:val="002929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29298D"/>
    <w:pPr>
      <w:spacing w:after="120" w:line="480" w:lineRule="auto"/>
      <w:ind w:left="283"/>
    </w:pPr>
  </w:style>
  <w:style w:type="character" w:customStyle="1" w:styleId="22">
    <w:name w:val="Основной текст с отступом 2 Знак"/>
    <w:basedOn w:val="a0"/>
    <w:link w:val="21"/>
    <w:rsid w:val="0029298D"/>
    <w:rPr>
      <w:rFonts w:ascii="Times New Roman" w:eastAsia="Times New Roman" w:hAnsi="Times New Roman" w:cs="Times New Roman"/>
      <w:sz w:val="24"/>
      <w:szCs w:val="20"/>
      <w:lang w:eastAsia="ru-RU"/>
    </w:rPr>
  </w:style>
  <w:style w:type="paragraph" w:customStyle="1" w:styleId="ac">
    <w:name w:val="Осн.Текст"/>
    <w:basedOn w:val="a"/>
    <w:autoRedefine/>
    <w:rsid w:val="00003EDF"/>
    <w:pPr>
      <w:ind w:firstLine="709"/>
      <w:jc w:val="both"/>
    </w:pPr>
    <w:rPr>
      <w:bCs/>
      <w:szCs w:val="24"/>
    </w:rPr>
  </w:style>
  <w:style w:type="paragraph" w:styleId="ad">
    <w:name w:val="Normal (Web)"/>
    <w:basedOn w:val="a"/>
    <w:uiPriority w:val="99"/>
    <w:unhideWhenUsed/>
    <w:rsid w:val="0029298D"/>
    <w:pPr>
      <w:spacing w:before="100" w:beforeAutospacing="1" w:after="100" w:afterAutospacing="1"/>
    </w:pPr>
    <w:rPr>
      <w:szCs w:val="24"/>
    </w:rPr>
  </w:style>
  <w:style w:type="character" w:styleId="ae">
    <w:name w:val="Hyperlink"/>
    <w:rsid w:val="0016120E"/>
    <w:rPr>
      <w:rFonts w:ascii="Times New Roman" w:hAnsi="Times New Roman" w:cs="Times New Roman" w:hint="default"/>
      <w:b/>
      <w:bCs/>
      <w:color w:val="000080"/>
      <w:sz w:val="24"/>
      <w:szCs w:val="24"/>
      <w:u w:val="single"/>
    </w:rPr>
  </w:style>
  <w:style w:type="paragraph" w:customStyle="1" w:styleId="Default">
    <w:name w:val="Default"/>
    <w:rsid w:val="003419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
    <w:name w:val="Table Grid"/>
    <w:basedOn w:val="a1"/>
    <w:uiPriority w:val="59"/>
    <w:rsid w:val="00F80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annotation text"/>
    <w:basedOn w:val="a"/>
    <w:link w:val="af1"/>
    <w:uiPriority w:val="99"/>
    <w:unhideWhenUsed/>
    <w:rsid w:val="00B04D78"/>
    <w:rPr>
      <w:b/>
      <w:sz w:val="20"/>
    </w:rPr>
  </w:style>
  <w:style w:type="character" w:customStyle="1" w:styleId="af1">
    <w:name w:val="Текст примечания Знак"/>
    <w:basedOn w:val="a0"/>
    <w:link w:val="af0"/>
    <w:uiPriority w:val="99"/>
    <w:rsid w:val="00B04D78"/>
    <w:rPr>
      <w:rFonts w:ascii="Times New Roman" w:eastAsia="Times New Roman" w:hAnsi="Times New Roman" w:cs="Times New Roman"/>
      <w:b/>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986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chart" Target="charts/chart20.xml"/><Relationship Id="rId3" Type="http://schemas.openxmlformats.org/officeDocument/2006/relationships/styles" Target="styles.xml"/><Relationship Id="rId21" Type="http://schemas.openxmlformats.org/officeDocument/2006/relationships/chart" Target="charts/chart15.xml"/><Relationship Id="rId34"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1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hyperlink" Target="consultantplus://offline/ref=6687172BA3F08738C5E18AAEC5B84D9098112A40D660D2E456BD460A3854546DnCB2L" TargetMode="External"/><Relationship Id="rId29" Type="http://schemas.openxmlformats.org/officeDocument/2006/relationships/hyperlink" Target="D:economicfinansdiag3.htm" TargetMode="Externa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chart" Target="charts/chart1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chart" Target="charts/chart17.xml"/><Relationship Id="rId28" Type="http://schemas.openxmlformats.org/officeDocument/2006/relationships/hyperlink" Target="D:economicfinansdiag3.htm" TargetMode="External"/><Relationship Id="rId10" Type="http://schemas.openxmlformats.org/officeDocument/2006/relationships/chart" Target="charts/chart5.xml"/><Relationship Id="rId19" Type="http://schemas.openxmlformats.org/officeDocument/2006/relationships/chart" Target="charts/chart14.xml"/><Relationship Id="rId31" Type="http://schemas.openxmlformats.org/officeDocument/2006/relationships/chart" Target="charts/chart23.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2.xml"/></Relationships>
</file>

<file path=word/charts/_rels/chart1.xml.rels><?xml version="1.0" encoding="UTF-8" standalone="yes"?>
<Relationships xmlns="http://schemas.openxmlformats.org/package/2006/relationships"><Relationship Id="rId1" Type="http://schemas.openxmlformats.org/officeDocument/2006/relationships/oleObject" Target="file:///\\Ad\econ\5%20&#1055;&#1056;&#1054;&#1043;&#1053;&#1054;&#1047;&#1067;%202007-2015\&#1055;&#1088;&#1086;&#1075;&#1085;&#1086;&#1079;%202015\&#1056;&#1040;&#1041;&#1054;&#1063;&#1040;&#1071;\&#1055;&#1088;&#1086;&#1084;.,%20&#1089;&#1093;,%20&#1052;&#1041;,%20&#1087;&#1086;&#1090;&#1088;&#1077;&#1073;.&#1088;&#1099;&#1085;&#1086;&#1082;\&#1076;&#1080;&#1072;&#1075;&#1088;&#1072;&#1084;&#1084;&#1099;%20&#1087;&#1088;&#1086;&#1084;.,%20&#1087;&#1086;&#1090;&#1088;&#1077;&#1073;&#1080;&#1090;.%20-%20&#1082;%20&#1087;&#1088;&#1086;&#1075;&#1085;&#1086;&#1079;&#1091;%20&#1085;&#1072;%202015&#1075;..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ad\econ\5%20&#1055;&#1056;&#1054;&#1043;&#1053;&#1054;&#1047;&#1067;%202007-2015\&#1055;&#1088;&#1086;&#1075;&#1085;&#1086;&#1079;%202015\&#1056;&#1040;&#1041;&#1054;&#1063;&#1040;&#1071;\&#1056;&#1072;&#1073;&#1086;&#1095;&#1072;&#1103;%20&#1080;&#1085;&#1074;&#1077;&#1089;%20&#1092;&#1080;&#1085;&#1072;&#1085;&#1089;&#1099;%20&#1090;&#1088;&#1091;&#1076;\&#1080;&#1085;&#1074;&#1077;&#1089;&#1090;&#1080;&#1094;&#1080;&#1080;%20&#1088;&#1072;&#1073;.%20&#1075;&#1088;&#1072;&#1092;&#1080;&#1082;&#1080;.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GoncharenkoVI\&#1056;&#1072;&#1073;&#1086;&#1095;&#1080;&#1081;%20&#1089;&#1090;&#1086;&#1083;\&#1076;&#1080;&#1072;&#1075;&#1088;&#1072;&#1084;&#1084;&#1099;%20&#1082;%20&#1087;&#1088;&#1086;&#1075;&#1085;&#1086;&#1079;&#1091;%202015%20&#1075;&#1086;&#1076;.xls" TargetMode="External"/></Relationships>
</file>

<file path=word/charts/_rels/chart12.xml.rels><?xml version="1.0" encoding="UTF-8" standalone="yes"?>
<Relationships xmlns="http://schemas.openxmlformats.org/package/2006/relationships"><Relationship Id="rId2" Type="http://schemas.openxmlformats.org/officeDocument/2006/relationships/oleObject" Target="file:///C:\Documents%20and%20Settings\GoncharenkoVI\&#1056;&#1072;&#1073;&#1086;&#1095;&#1080;&#1081;%20&#1089;&#1090;&#1086;&#1083;\&#1084;&#1072;&#1083;&#1099;&#1081;%20&#1073;&#1080;&#1079;&#1085;&#1077;&#1089;%202015%20&#1075;&#1086;&#1076;.xls" TargetMode="External"/><Relationship Id="rId1" Type="http://schemas.openxmlformats.org/officeDocument/2006/relationships/image" Target="../media/image1.jpeg"/></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GoncharenkoVI\&#1056;&#1072;&#1073;&#1086;&#1095;&#1080;&#1081;%20&#1089;&#1090;&#1086;&#1083;\&#1084;&#1072;&#1083;&#1099;&#1081;%20&#1073;&#1080;&#1079;&#1085;&#1077;&#1089;%202015%20&#1075;&#1086;&#1076;.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1055;&#1056;&#1054;&#1043;&#1053;&#1054;&#1047;&#1067;\&#1055;&#1088;&#1086;&#1075;&#1085;&#1086;&#1079;%202015\&#1048;&#1090;&#1086;&#1075;&#1080;%20&#1085;&#1072;%20&#1044;&#1059;&#1052;&#1059;\&#1043;&#1056;&#1040;&#1060;&#1048;&#1050;&#1048;\13%20&#1091;&#1088;&#1086;&#1074;&#1077;&#1085;&#1100;%20&#1078;&#1080;&#1079;&#1085;&#1080;.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KitaninaON\Desktop\&#1050;&#1054;&#1053;\&#1048;&#1090;&#1086;&#1075;&#1080;%202013%20&#1075;\13,14%20&#1091;&#1088;&#1086;&#1074;&#1077;&#1085;&#1100;%20&#1078;&#1080;&#1079;&#1085;&#1080;%20&#1080;&#1089;&#1087;&#1088;..xls"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4;&#1051;&#1068;&#1043;&#1040;\&#1055;&#1056;&#1054;&#1043;&#1053;&#1054;&#1047;&#1067;\&#1055;&#1088;&#1086;&#1075;&#1085;&#1086;&#1079;%202015\&#1055;&#1056;&#1040;&#1042;&#1045;&#1051;&#1068;&#1053;&#1067;&#1049;\&#1058;&#1088;&#1091;&#1076;%20&#1080;%20&#1079;&#1072;&#1085;&#1103;&#1090;&#1086;&#1089;&#1090;&#1100;%202014.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ad\econ\5%20&#1055;&#1056;&#1054;&#1043;&#1053;&#1054;&#1047;&#1067;%202007-2015\&#1055;&#1088;&#1086;&#1075;&#1085;&#1086;&#1079;%202015\&#1056;&#1040;&#1041;&#1054;&#1063;&#1040;&#1071;\&#1056;&#1072;&#1073;&#1086;&#1095;&#1072;&#1103;%20&#1080;&#1085;&#1074;&#1077;&#1089;%20&#1092;&#1080;&#1085;&#1072;&#1085;&#1089;&#1099;%20&#1090;&#1088;&#1091;&#1076;\&#1058;&#1088;&#1091;&#1076;%20&#1080;%20&#1079;&#1072;&#1085;&#1103;&#1090;&#1086;&#1089;&#1090;&#1100;%202014%20&#1075;&#1088;&#1072;&#1092;&#1080;&#1082;&#1080;.xls" TargetMode="External"/></Relationships>
</file>

<file path=word/charts/_rels/chart18.xml.rels><?xml version="1.0" encoding="UTF-8" standalone="yes"?>
<Relationships xmlns="http://schemas.openxmlformats.org/package/2006/relationships"><Relationship Id="rId2" Type="http://schemas.openxmlformats.org/officeDocument/2006/relationships/oleObject" Target="file:///\\Ad\econ\&#1057;&#1086;&#1090;&#1088;&#1091;&#1076;&#1085;&#1080;&#1082;&#1080;%20&#1059;&#1069;,&#1056;&#1080;&#1055;\&#1055;&#1083;&#1077;&#1090;&#1085;&#1105;&#1074;&#1072;%20&#1058;.&#1042;\&#1044;&#1080;&#1072;&#1075;&#1088;&#1072;&#1084;&#1084;&#1099;\&#1043;&#1088;&#1072;&#1092;&#1080;&#1082;&#1080;%20&#1058;&#1072;&#1085;&#1103;.xlsx" TargetMode="External"/><Relationship Id="rId1" Type="http://schemas.openxmlformats.org/officeDocument/2006/relationships/themeOverride" Target="../theme/themeOverride1.xml"/></Relationships>
</file>

<file path=word/charts/_rels/chart19.xml.rels><?xml version="1.0" encoding="UTF-8" standalone="yes"?>
<Relationships xmlns="http://schemas.openxmlformats.org/package/2006/relationships"><Relationship Id="rId1" Type="http://schemas.openxmlformats.org/officeDocument/2006/relationships/oleObject" Target="file:///\\Ad\econ\13%20&#1057;&#1054;&#1058;&#1056;&#1059;&#1044;&#1053;&#1048;&#1050;&#1048;%20&#1059;&#1069;,&#1056;&#1080;&#1055;\&#1055;&#1083;&#1077;&#1090;&#1085;&#1105;&#1074;&#1072;%20&#1058;.&#1042;\&#1044;&#1080;&#1072;&#1075;&#1088;&#1072;&#1084;&#1084;&#1099;\&#1043;&#1088;&#1072;&#1092;&#1080;&#1082;&#1080;%20&#1058;&#1072;&#1085;&#11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GoncharenkoVI\&#1056;&#1072;&#1073;&#1086;&#1095;&#1080;&#1081;%20&#1089;&#1090;&#1086;&#1083;\26.06.2014\&#1076;&#1080;&#1072;&#1075;&#1088;&#1072;&#1084;&#1084;&#1099;%20&#1082;%20&#1087;&#1088;&#1086;&#1075;&#1085;&#1086;&#1079;&#1091;%202015%20&#1075;&#1086;&#1076;.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Ad\econ\13%20&#1057;&#1054;&#1058;&#1056;&#1059;&#1044;&#1053;&#1048;&#1050;&#1048;%20&#1059;&#1069;,&#1056;&#1080;&#1055;\&#1055;&#1083;&#1077;&#1090;&#1085;&#1105;&#1074;&#1072;%20&#1058;.&#1042;\&#1044;&#1080;&#1072;&#1075;&#1088;&#1072;&#1084;&#1084;&#1099;\&#1043;&#1088;&#1072;&#1092;&#1080;&#1082;&#1080;%20&#1058;&#1072;&#1085;&#11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Ad\econ\&#1057;&#1086;&#1090;&#1088;&#1091;&#1076;&#1085;&#1080;&#1082;&#1080;%20&#1059;&#1069;,&#1056;&#1080;&#1055;\&#1055;&#1083;&#1077;&#1090;&#1085;&#1105;&#1074;&#1072;%20&#1058;.&#1042;\&#1044;&#1080;&#1072;&#1075;&#1088;&#1072;&#1084;&#1084;&#1099;\&#1043;&#1088;&#1072;&#1092;&#1080;&#1082;&#1080;%20&#1058;&#1072;&#1085;&#11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KitaninaON\Desktop\&#1050;&#1054;&#1053;\&#1055;&#1056;&#1054;&#1043;&#1053;&#1054;&#1047;&#1067;\&#1055;&#1088;&#1086;&#1075;&#1085;&#1086;&#1079;%202015\&#1055;&#1056;&#1040;&#1042;&#1045;&#1051;&#1068;&#1053;&#1067;&#1049;\&#1055;&#1088;&#1086;&#1075;&#1085;&#1086;&#1079;%20&#1076;&#1086;&#1093;&#1086;&#1076;&#1086;&#1074;%20&#1091;&#1090;&#1086;&#1095;&#1085;&#1077;&#1085;&#1086;%20&#1089;&#1077;&#1085;&#1090;%202014.xls" TargetMode="External"/></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KitaninaON\Desktop\&#1050;&#1080;&#1090;&#1072;&#1085;&#1080;&#1085;&#1072;%20&#1054;\&#1055;&#1056;&#1054;&#1043;&#1053;&#1054;&#1047;&#1067;\&#1055;&#1088;&#1086;&#1075;&#1085;&#1086;&#1079;%202015\&#1060;&#1048;&#1053;&#1040;&#1053;&#1057;&#1067;\&#1056;&#1072;&#1089;&#1093;%20&#1073;&#1102;&#1076;&#1078;&#1077;&#1090;&#1072;%202014%20&#1075;&#1088;&#1072;&#1092;&#1080;&#1082;&#108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Ad\econ\5%20&#1055;&#1056;&#1054;&#1043;&#1053;&#1054;&#1047;&#1067;%202007-2015\&#1055;&#1088;&#1086;&#1075;&#1085;&#1086;&#1079;%202015\&#1056;&#1040;&#1041;&#1054;&#1063;&#1040;&#1071;\&#1055;&#1088;&#1086;&#1084;.,%20&#1089;&#1093;,%20&#1052;&#1041;,%20&#1087;&#1086;&#1090;&#1088;&#1077;&#1073;.&#1088;&#1099;&#1085;&#1086;&#1082;\&#1076;&#1080;&#1072;&#1075;&#1088;&#1072;&#1084;&#1084;&#1099;%20&#1087;&#1088;&#1086;&#1084;.,%20&#1087;&#1086;&#1090;&#1088;&#1077;&#1073;&#1080;&#1090;.%20-%20&#1082;%20&#1087;&#1088;&#1086;&#1075;&#1085;&#1086;&#1079;&#1091;%20&#1085;&#1072;%202015&#107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Ad\econ\5%20&#1055;&#1056;&#1054;&#1043;&#1053;&#1054;&#1047;&#1067;%202007-2015\&#1055;&#1088;&#1086;&#1075;&#1085;&#1086;&#1079;%202015\&#1056;&#1040;&#1041;&#1054;&#1063;&#1040;&#1071;\&#1055;&#1088;&#1086;&#1084;.,%20&#1089;&#1093;,%20&#1052;&#1041;,%20&#1087;&#1086;&#1090;&#1088;&#1077;&#1073;.&#1088;&#1099;&#1085;&#1086;&#1082;\&#1076;&#1080;&#1072;&#1075;&#1088;&#1072;&#1084;&#1084;&#1099;%20&#1087;&#1088;&#1086;&#1084;.,%20&#1087;&#1086;&#1090;&#1088;&#1077;&#1073;&#1080;&#1090;.%20-%20&#1082;%20&#1087;&#1088;&#1086;&#1075;&#1085;&#1086;&#1079;&#1091;%20&#1085;&#1072;%202015&#1075;..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Ad\econ\5%20&#1055;&#1056;&#1054;&#1043;&#1053;&#1054;&#1047;&#1067;%202007-2015\&#1055;&#1088;&#1086;&#1075;&#1085;&#1086;&#1079;%202015\&#1056;&#1040;&#1041;&#1054;&#1063;&#1040;&#1071;\&#1055;&#1088;&#1086;&#1084;.,%20&#1089;&#1093;,%20&#1052;&#1041;,%20&#1087;&#1086;&#1090;&#1088;&#1077;&#1073;.&#1088;&#1099;&#1085;&#1086;&#1082;\&#1076;&#1080;&#1072;&#1075;&#1088;&#1072;&#1084;&#1084;&#1099;%20&#1087;&#1088;&#1086;&#1084;.,%20&#1087;&#1086;&#1090;&#1088;&#1077;&#1073;&#1080;&#1090;.%20-%20&#1082;%20&#1087;&#1088;&#1086;&#1075;&#1085;&#1086;&#1079;&#1091;%20&#1085;&#1072;%202015&#1075;..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GoncharenkoVI\&#1056;&#1072;&#1073;&#1086;&#1095;&#1080;&#1081;%20&#1089;&#1090;&#1086;&#1083;\&#1076;&#1086;&#1087;&#1086;&#1083;&#1085;&#1080;&#1090;&#1077;&#1083;&#1100;&#1085;&#1086;%20&#1082;%20&#1087;&#1088;&#1086;&#1075;&#1085;&#1086;&#1079;&#1091;\&#1056;&#1072;&#1073;&#1086;&#1095;&#1072;&#1103;%20&#1054;&#1083;&#1077;&#1089;&#1103;\&#1040;&#1055;&#1050;\&#1040;&#1055;&#1050;-2&#1087;%20&#1088;&#1072;&#1073;..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ad\econ\5%20&#1055;&#1056;&#1054;&#1043;&#1053;&#1054;&#1047;&#1067;%202007-2015\&#1055;&#1088;&#1086;&#1075;&#1085;&#1086;&#1079;%202015\&#1056;&#1040;&#1041;&#1054;&#1063;&#1040;&#1071;\&#1056;&#1072;&#1073;&#1086;&#1095;&#1072;&#1103;%20&#1080;&#1085;&#1074;&#1077;&#1089;%20&#1092;&#1080;&#1085;&#1072;&#1085;&#1089;&#1099;%20&#1090;&#1088;&#1091;&#1076;\&#1080;&#1085;&#1074;&#1077;&#1089;&#1090;&#1080;&#1094;&#1080;&#1080;%20&#1088;&#1072;&#1073;.%20&#1075;&#1088;&#1072;&#1092;&#1080;&#1082;&#1080;.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ad\econ\5%20&#1055;&#1056;&#1054;&#1043;&#1053;&#1054;&#1047;&#1067;%202007-2015\&#1055;&#1088;&#1086;&#1075;&#1085;&#1086;&#1079;%202015\&#1056;&#1040;&#1041;&#1054;&#1063;&#1040;&#1071;\&#1056;&#1072;&#1073;&#1086;&#1095;&#1072;&#1103;%20&#1080;&#1085;&#1074;&#1077;&#1089;%20&#1092;&#1080;&#1085;&#1072;&#1085;&#1089;&#1099;%20&#1090;&#1088;&#1091;&#1076;\&#1080;&#1085;&#1074;&#1077;&#1089;&#1090;&#1080;&#1094;&#1080;&#1080;%20&#1088;&#1072;&#1073;.%20&#1075;&#1088;&#1072;&#1092;&#1080;&#1082;&#1080;.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KitaninaON\Desktop\&#1050;&#1080;&#1090;&#1072;&#1085;&#1080;&#1085;&#1072;%20&#1054;\&#1055;&#1056;&#1054;&#1043;&#1053;&#1054;&#1047;&#1067;\&#1055;&#1088;&#1086;&#1075;&#1085;&#1086;&#1079;%202015\&#1080;&#1085;&#1074;&#1077;&#1089;&#1090;&#1080;&#1094;&#1080;&#1080;%20&#1088;&#1072;&#1073;.%20&#1080;&#1089;&#1087;&#108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00" b="1" i="0" u="none" strike="noStrike" baseline="0">
                <a:solidFill>
                  <a:srgbClr val="000000"/>
                </a:solidFill>
                <a:latin typeface="Times New Roman" pitchFamily="18" charset="0"/>
                <a:ea typeface="Script MT Bold"/>
                <a:cs typeface="Times New Roman" pitchFamily="18" charset="0"/>
              </a:defRPr>
            </a:pPr>
            <a:r>
              <a:rPr lang="ru-RU">
                <a:latin typeface="Times New Roman" pitchFamily="18" charset="0"/>
                <a:cs typeface="Times New Roman" pitchFamily="18" charset="0"/>
              </a:rPr>
              <a:t>Динамика объемов промышленного производства на территории Белоярского района, млн.руб.</a:t>
            </a:r>
          </a:p>
        </c:rich>
      </c:tx>
      <c:layout>
        <c:manualLayout>
          <c:xMode val="edge"/>
          <c:yMode val="edge"/>
          <c:x val="0.13093289689034446"/>
          <c:y val="2.2875970290947817E-2"/>
        </c:manualLayout>
      </c:layout>
      <c:spPr>
        <a:noFill/>
        <a:ln w="25400">
          <a:noFill/>
        </a:ln>
      </c:spPr>
    </c:title>
    <c:plotArea>
      <c:layout>
        <c:manualLayout>
          <c:layoutTarget val="inner"/>
          <c:xMode val="edge"/>
          <c:yMode val="edge"/>
          <c:x val="0.11098006366225499"/>
          <c:y val="0.25817082705087407"/>
          <c:w val="0.78185874883479167"/>
          <c:h val="0.46405376855394886"/>
        </c:manualLayout>
      </c:layout>
      <c:barChart>
        <c:barDir val="col"/>
        <c:grouping val="clustered"/>
        <c:ser>
          <c:idx val="1"/>
          <c:order val="0"/>
          <c:tx>
            <c:strRef>
              <c:f>'Белоярский р-н'!$A$3</c:f>
              <c:strCache>
                <c:ptCount val="1"/>
                <c:pt idx="0">
                  <c:v>  Объем промышленного производства, млн. руб</c:v>
                </c:pt>
              </c:strCache>
            </c:strRef>
          </c:tx>
          <c:spPr>
            <a:gradFill rotWithShape="0">
              <a:gsLst>
                <a:gs pos="0">
                  <a:srgbClr val="8064A2">
                    <a:lumMod val="40000"/>
                    <a:lumOff val="60000"/>
                  </a:srgbClr>
                </a:gs>
                <a:gs pos="100000">
                  <a:schemeClr val="accent4">
                    <a:lumMod val="75000"/>
                  </a:schemeClr>
                </a:gs>
                <a:gs pos="100000">
                  <a:srgbClr val="FF66CC"/>
                </a:gs>
                <a:gs pos="100000">
                  <a:srgbClr val="E6A4E1"/>
                </a:gs>
              </a:gsLst>
              <a:lin ang="18900000" scaled="1"/>
            </a:gradFill>
            <a:ln w="12700">
              <a:solidFill>
                <a:srgbClr val="000000"/>
              </a:solidFill>
              <a:prstDash val="solid"/>
            </a:ln>
          </c:spPr>
          <c:dLbls>
            <c:dLbl>
              <c:idx val="0"/>
              <c:layout>
                <c:manualLayout>
                  <c:x val="3.778840247260442E-3"/>
                  <c:y val="9.0587479756520251E-3"/>
                </c:manualLayout>
              </c:layout>
              <c:dLblPos val="outEnd"/>
              <c:showVal val="1"/>
            </c:dLbl>
            <c:dLbl>
              <c:idx val="1"/>
              <c:layout>
                <c:manualLayout>
                  <c:x val="2.6875609452255279E-3"/>
                  <c:y val="1.9408611157647907E-3"/>
                </c:manualLayout>
              </c:layout>
              <c:dLblPos val="outEnd"/>
              <c:showVal val="1"/>
            </c:dLbl>
            <c:dLbl>
              <c:idx val="2"/>
              <c:layout>
                <c:manualLayout>
                  <c:x val="-1.6766971231705825E-3"/>
                  <c:y val="1.1958731222426983E-2"/>
                </c:manualLayout>
              </c:layout>
              <c:dLblPos val="outEnd"/>
              <c:showVal val="1"/>
            </c:dLbl>
            <c:dLbl>
              <c:idx val="3"/>
              <c:layout>
                <c:manualLayout>
                  <c:x val="-4.0035912041193408E-5"/>
                  <c:y val="8.1241972413022868E-3"/>
                </c:manualLayout>
              </c:layout>
              <c:dLblPos val="outEnd"/>
              <c:showVal val="1"/>
            </c:dLbl>
            <c:dLbl>
              <c:idx val="4"/>
              <c:layout>
                <c:manualLayout>
                  <c:x val="-4.0035912041273381E-5"/>
                  <c:y val="9.9234936058524726E-3"/>
                </c:manualLayout>
              </c:layout>
              <c:dLblPos val="outEnd"/>
              <c:showVal val="1"/>
            </c:dLbl>
            <c:dLbl>
              <c:idx val="5"/>
              <c:layout>
                <c:manualLayout>
                  <c:x val="3.2332865102173655E-3"/>
                  <c:y val="-2.5053646393912899E-3"/>
                </c:manualLayout>
              </c:layout>
              <c:dLblPos val="outEnd"/>
              <c:showVal val="1"/>
            </c:dLbl>
            <c:numFmt formatCode="#,##0.0" sourceLinked="0"/>
            <c:spPr>
              <a:noFill/>
              <a:ln w="25400">
                <a:noFill/>
              </a:ln>
            </c:spPr>
            <c:txPr>
              <a:bodyPr/>
              <a:lstStyle/>
              <a:p>
                <a:pPr>
                  <a:defRPr sz="1100" b="1" i="0" u="none" strike="noStrike" baseline="0">
                    <a:solidFill>
                      <a:srgbClr val="000000"/>
                    </a:solidFill>
                    <a:latin typeface="Times New Roman"/>
                    <a:ea typeface="Times New Roman"/>
                    <a:cs typeface="Times New Roman"/>
                  </a:defRPr>
                </a:pPr>
                <a:endParaRPr lang="ru-RU"/>
              </a:p>
            </c:txPr>
            <c:showVal val="1"/>
          </c:dLbls>
          <c:cat>
            <c:strRef>
              <c:f>'Белоярский р-н'!$B$2:$F$2</c:f>
              <c:strCache>
                <c:ptCount val="5"/>
                <c:pt idx="0">
                  <c:v>2013 год    отчет</c:v>
                </c:pt>
                <c:pt idx="1">
                  <c:v>2014 год оценка</c:v>
                </c:pt>
                <c:pt idx="2">
                  <c:v>2015 год прогноз</c:v>
                </c:pt>
                <c:pt idx="3">
                  <c:v>2016 год прогноз</c:v>
                </c:pt>
                <c:pt idx="4">
                  <c:v>2017 год прогноз</c:v>
                </c:pt>
              </c:strCache>
            </c:strRef>
          </c:cat>
          <c:val>
            <c:numRef>
              <c:f>'Белоярский р-н'!$B$3:$F$3</c:f>
              <c:numCache>
                <c:formatCode>0.000</c:formatCode>
                <c:ptCount val="5"/>
                <c:pt idx="0">
                  <c:v>14478.480000000001</c:v>
                </c:pt>
                <c:pt idx="1">
                  <c:v>17338.545999999998</c:v>
                </c:pt>
                <c:pt idx="2">
                  <c:v>26800.214999999997</c:v>
                </c:pt>
                <c:pt idx="3">
                  <c:v>34854.892</c:v>
                </c:pt>
                <c:pt idx="4">
                  <c:v>46287.631999999998</c:v>
                </c:pt>
              </c:numCache>
            </c:numRef>
          </c:val>
        </c:ser>
        <c:dLbls/>
        <c:gapWidth val="50"/>
        <c:overlap val="100"/>
        <c:axId val="142570624"/>
        <c:axId val="142572160"/>
      </c:barChart>
      <c:lineChart>
        <c:grouping val="standard"/>
        <c:ser>
          <c:idx val="0"/>
          <c:order val="1"/>
          <c:tx>
            <c:strRef>
              <c:f>'Белоярский р-н'!$A$4</c:f>
              <c:strCache>
                <c:ptCount val="1"/>
                <c:pt idx="0">
                  <c:v>Индекс промышленного производства</c:v>
                </c:pt>
              </c:strCache>
            </c:strRef>
          </c:tx>
          <c:spPr>
            <a:ln w="25400">
              <a:solidFill>
                <a:schemeClr val="accent2">
                  <a:lumMod val="75000"/>
                </a:schemeClr>
              </a:solidFill>
              <a:prstDash val="solid"/>
            </a:ln>
          </c:spPr>
          <c:marker>
            <c:symbol val="circle"/>
            <c:size val="5"/>
            <c:spPr>
              <a:solidFill>
                <a:schemeClr val="accent2">
                  <a:lumMod val="60000"/>
                  <a:lumOff val="40000"/>
                </a:schemeClr>
              </a:solidFill>
              <a:ln>
                <a:solidFill>
                  <a:schemeClr val="accent2">
                    <a:lumMod val="75000"/>
                  </a:schemeClr>
                </a:solidFill>
                <a:prstDash val="solid"/>
              </a:ln>
            </c:spPr>
          </c:marker>
          <c:dLbls>
            <c:dLbl>
              <c:idx val="0"/>
              <c:layout>
                <c:manualLayout>
                  <c:x val="-3.7097654118930797E-2"/>
                  <c:y val="-4.3013533922784994E-2"/>
                </c:manualLayout>
              </c:layout>
              <c:tx>
                <c:rich>
                  <a:bodyPr/>
                  <a:lstStyle/>
                  <a:p>
                    <a:r>
                      <a:rPr lang="ru-RU">
                        <a:latin typeface="Times New Roman" pitchFamily="18" charset="0"/>
                        <a:cs typeface="Times New Roman" pitchFamily="18" charset="0"/>
                      </a:rPr>
                      <a:t>104,8</a:t>
                    </a:r>
                    <a:r>
                      <a:rPr lang="en-US">
                        <a:latin typeface="Times New Roman" pitchFamily="18" charset="0"/>
                        <a:cs typeface="Times New Roman" pitchFamily="18" charset="0"/>
                      </a:rPr>
                      <a:t>%</a:t>
                    </a:r>
                    <a:endParaRPr lang="en-US"/>
                  </a:p>
                </c:rich>
              </c:tx>
              <c:dLblPos val="r"/>
            </c:dLbl>
            <c:dLbl>
              <c:idx val="1"/>
              <c:layout>
                <c:manualLayout>
                  <c:x val="-5.6737588652482324E-2"/>
                  <c:y val="-4.7930283224401127E-2"/>
                </c:manualLayout>
              </c:layout>
              <c:tx>
                <c:rich>
                  <a:bodyPr/>
                  <a:lstStyle/>
                  <a:p>
                    <a:r>
                      <a:rPr lang="ru-RU">
                        <a:latin typeface="Times New Roman" pitchFamily="18" charset="0"/>
                        <a:cs typeface="Times New Roman" pitchFamily="18" charset="0"/>
                      </a:rPr>
                      <a:t>110,2%</a:t>
                    </a:r>
                    <a:endParaRPr lang="en-US"/>
                  </a:p>
                </c:rich>
              </c:tx>
              <c:dLblPos val="r"/>
            </c:dLbl>
            <c:dLbl>
              <c:idx val="2"/>
              <c:layout>
                <c:manualLayout>
                  <c:x val="-5.8919803600654665E-2"/>
                  <c:y val="-5.2287581699346698E-2"/>
                </c:manualLayout>
              </c:layout>
              <c:tx>
                <c:rich>
                  <a:bodyPr/>
                  <a:lstStyle/>
                  <a:p>
                    <a:r>
                      <a:rPr lang="ru-RU">
                        <a:latin typeface="Times New Roman" pitchFamily="18" charset="0"/>
                        <a:cs typeface="Times New Roman" pitchFamily="18" charset="0"/>
                      </a:rPr>
                      <a:t>152,2%</a:t>
                    </a:r>
                    <a:endParaRPr lang="en-US"/>
                  </a:p>
                </c:rich>
              </c:tx>
              <c:dLblPos val="r"/>
            </c:dLbl>
            <c:dLbl>
              <c:idx val="3"/>
              <c:layout>
                <c:manualLayout>
                  <c:x val="-5.6737588652482192E-2"/>
                  <c:y val="-5.2287581699346747E-2"/>
                </c:manualLayout>
              </c:layout>
              <c:tx>
                <c:rich>
                  <a:bodyPr/>
                  <a:lstStyle/>
                  <a:p>
                    <a:r>
                      <a:rPr lang="ru-RU">
                        <a:latin typeface="Times New Roman" pitchFamily="18" charset="0"/>
                        <a:cs typeface="Times New Roman" pitchFamily="18" charset="0"/>
                      </a:rPr>
                      <a:t>126,2%</a:t>
                    </a:r>
                    <a:endParaRPr lang="en-US"/>
                  </a:p>
                </c:rich>
              </c:tx>
              <c:dLblPos val="r"/>
            </c:dLbl>
            <c:dLbl>
              <c:idx val="4"/>
              <c:layout>
                <c:manualLayout>
                  <c:x val="-4.8008728859792897E-2"/>
                  <c:y val="-5.2287581699346698E-2"/>
                </c:manualLayout>
              </c:layout>
              <c:tx>
                <c:rich>
                  <a:bodyPr/>
                  <a:lstStyle/>
                  <a:p>
                    <a:r>
                      <a:rPr lang="en-US">
                        <a:latin typeface="Times New Roman" pitchFamily="18" charset="0"/>
                        <a:cs typeface="Times New Roman" pitchFamily="18" charset="0"/>
                      </a:rPr>
                      <a:t>1</a:t>
                    </a:r>
                    <a:r>
                      <a:rPr lang="ru-RU">
                        <a:latin typeface="Times New Roman" pitchFamily="18" charset="0"/>
                        <a:cs typeface="Times New Roman" pitchFamily="18" charset="0"/>
                      </a:rPr>
                      <a:t>29,8%</a:t>
                    </a:r>
                    <a:endParaRPr lang="en-US"/>
                  </a:p>
                </c:rich>
              </c:tx>
              <c:dLblPos val="r"/>
            </c:dLbl>
            <c:txPr>
              <a:bodyPr/>
              <a:lstStyle/>
              <a:p>
                <a:pPr>
                  <a:defRPr>
                    <a:latin typeface="Times New Roman" pitchFamily="18" charset="0"/>
                    <a:cs typeface="Times New Roman" pitchFamily="18" charset="0"/>
                  </a:defRPr>
                </a:pPr>
                <a:endParaRPr lang="ru-RU"/>
              </a:p>
            </c:txPr>
            <c:showVal val="1"/>
          </c:dLbls>
          <c:cat>
            <c:strRef>
              <c:f>'Белоярский р-н'!$B$2:$F$2</c:f>
              <c:strCache>
                <c:ptCount val="5"/>
                <c:pt idx="0">
                  <c:v>2013 год    отчет</c:v>
                </c:pt>
                <c:pt idx="1">
                  <c:v>2014 год оценка</c:v>
                </c:pt>
                <c:pt idx="2">
                  <c:v>2015 год прогноз</c:v>
                </c:pt>
                <c:pt idx="3">
                  <c:v>2016 год прогноз</c:v>
                </c:pt>
                <c:pt idx="4">
                  <c:v>2017 год прогноз</c:v>
                </c:pt>
              </c:strCache>
            </c:strRef>
          </c:cat>
          <c:val>
            <c:numRef>
              <c:f>'Белоярский р-н'!$B$4:$F$4</c:f>
              <c:numCache>
                <c:formatCode>#,##0.0</c:formatCode>
                <c:ptCount val="5"/>
                <c:pt idx="0">
                  <c:v>104.8</c:v>
                </c:pt>
                <c:pt idx="1">
                  <c:v>110.2</c:v>
                </c:pt>
                <c:pt idx="2">
                  <c:v>152.19999999999999</c:v>
                </c:pt>
                <c:pt idx="3">
                  <c:v>126.2</c:v>
                </c:pt>
                <c:pt idx="4">
                  <c:v>129.80000000000001</c:v>
                </c:pt>
              </c:numCache>
            </c:numRef>
          </c:val>
        </c:ser>
        <c:dLbls/>
        <c:marker val="1"/>
        <c:axId val="142603008"/>
        <c:axId val="142604544"/>
      </c:lineChart>
      <c:catAx>
        <c:axId val="142570624"/>
        <c:scaling>
          <c:orientation val="minMax"/>
        </c:scaling>
        <c:axPos val="b"/>
        <c:numFmt formatCode="General" sourceLinked="1"/>
        <c:majorTickMark val="cross"/>
        <c:tickLblPos val="nextTo"/>
        <c:spPr>
          <a:ln w="3175">
            <a:solidFill>
              <a:srgbClr val="000000"/>
            </a:solidFill>
            <a:prstDash val="solid"/>
          </a:ln>
        </c:spPr>
        <c:txPr>
          <a:bodyPr rot="0" vert="horz"/>
          <a:lstStyle/>
          <a:p>
            <a:pPr>
              <a:defRPr sz="1050" b="0" i="0" u="none" strike="noStrike" baseline="0">
                <a:solidFill>
                  <a:srgbClr val="000000"/>
                </a:solidFill>
                <a:latin typeface="Times New Roman"/>
                <a:ea typeface="Times New Roman"/>
                <a:cs typeface="Times New Roman"/>
              </a:defRPr>
            </a:pPr>
            <a:endParaRPr lang="ru-RU"/>
          </a:p>
        </c:txPr>
        <c:crossAx val="142572160"/>
        <c:crosses val="autoZero"/>
        <c:lblAlgn val="ctr"/>
        <c:lblOffset val="100"/>
        <c:tickLblSkip val="1"/>
        <c:tickMarkSkip val="1"/>
      </c:catAx>
      <c:valAx>
        <c:axId val="142572160"/>
        <c:scaling>
          <c:orientation val="minMax"/>
          <c:max val="70000"/>
          <c:min val="5000"/>
        </c:scaling>
        <c:axPos val="l"/>
        <c:title>
          <c:tx>
            <c:rich>
              <a:bodyPr/>
              <a:lstStyle/>
              <a:p>
                <a:pPr>
                  <a:defRPr sz="1000" b="1" i="0" u="none" strike="noStrike" baseline="0">
                    <a:solidFill>
                      <a:schemeClr val="bg1"/>
                    </a:solidFill>
                    <a:latin typeface="Times New Roman"/>
                    <a:ea typeface="Times New Roman"/>
                    <a:cs typeface="Times New Roman"/>
                  </a:defRPr>
                </a:pPr>
                <a:r>
                  <a:rPr lang="ru-RU">
                    <a:solidFill>
                      <a:schemeClr val="bg1"/>
                    </a:solidFill>
                  </a:rPr>
                  <a:t>млн. руб.</a:t>
                </a:r>
              </a:p>
            </c:rich>
          </c:tx>
          <c:layout>
            <c:manualLayout>
              <c:xMode val="edge"/>
              <c:yMode val="edge"/>
              <c:x val="1.9639934533551555E-2"/>
              <c:y val="0.40196208186742816"/>
            </c:manualLayout>
          </c:layout>
          <c:spPr>
            <a:noFill/>
            <a:ln w="25400">
              <a:noFill/>
            </a:ln>
          </c:spPr>
        </c:title>
        <c:numFmt formatCode="0" sourceLinked="0"/>
        <c:majorTickMark val="cross"/>
        <c:tickLblPos val="nextTo"/>
        <c:spPr>
          <a:noFill/>
          <a:ln w="3175">
            <a:noFill/>
            <a:prstDash val="solid"/>
          </a:ln>
        </c:spPr>
        <c:txPr>
          <a:bodyPr rot="0" vert="horz"/>
          <a:lstStyle/>
          <a:p>
            <a:pPr>
              <a:defRPr sz="1100" b="0" i="0" u="none" strike="noStrike" baseline="0">
                <a:solidFill>
                  <a:schemeClr val="bg1"/>
                </a:solidFill>
                <a:latin typeface="Times New Roman"/>
                <a:ea typeface="Times New Roman"/>
                <a:cs typeface="Times New Roman"/>
              </a:defRPr>
            </a:pPr>
            <a:endParaRPr lang="ru-RU"/>
          </a:p>
        </c:txPr>
        <c:crossAx val="142570624"/>
        <c:crosses val="autoZero"/>
        <c:crossBetween val="between"/>
      </c:valAx>
      <c:catAx>
        <c:axId val="142603008"/>
        <c:scaling>
          <c:orientation val="minMax"/>
        </c:scaling>
        <c:delete val="1"/>
        <c:axPos val="b"/>
        <c:tickLblPos val="none"/>
        <c:crossAx val="142604544"/>
        <c:crosses val="autoZero"/>
        <c:lblAlgn val="ctr"/>
        <c:lblOffset val="100"/>
      </c:catAx>
      <c:valAx>
        <c:axId val="142604544"/>
        <c:scaling>
          <c:orientation val="minMax"/>
          <c:max val="153"/>
          <c:min val="0"/>
        </c:scaling>
        <c:axPos val="r"/>
        <c:numFmt formatCode="#,##0.0" sourceLinked="1"/>
        <c:majorTickMark val="cross"/>
        <c:tickLblPos val="nextTo"/>
        <c:spPr>
          <a:ln w="3175">
            <a:solidFill>
              <a:srgbClr val="FFFFFF"/>
            </a:solidFill>
            <a:prstDash val="solid"/>
          </a:ln>
        </c:spPr>
        <c:txPr>
          <a:bodyPr rot="0" vert="horz"/>
          <a:lstStyle/>
          <a:p>
            <a:pPr>
              <a:defRPr sz="1100" b="0" i="0" u="none" strike="noStrike" baseline="0">
                <a:solidFill>
                  <a:srgbClr val="FFFFFF"/>
                </a:solidFill>
                <a:latin typeface="Times New Roman"/>
                <a:ea typeface="Times New Roman"/>
                <a:cs typeface="Times New Roman"/>
              </a:defRPr>
            </a:pPr>
            <a:endParaRPr lang="ru-RU"/>
          </a:p>
        </c:txPr>
        <c:crossAx val="142603008"/>
        <c:crosses val="max"/>
        <c:crossBetween val="between"/>
        <c:majorUnit val="20"/>
        <c:minorUnit val="4"/>
      </c:valAx>
      <c:spPr>
        <a:solidFill>
          <a:srgbClr val="FFFFFF"/>
        </a:solidFill>
        <a:ln w="12700">
          <a:solidFill>
            <a:srgbClr val="FFFFFF"/>
          </a:solidFill>
          <a:prstDash val="solid"/>
        </a:ln>
      </c:spPr>
    </c:plotArea>
    <c:legend>
      <c:legendPos val="b"/>
      <c:layout>
        <c:manualLayout>
          <c:xMode val="edge"/>
          <c:yMode val="edge"/>
          <c:x val="8.1833060556465286E-3"/>
          <c:y val="0.90849974870162242"/>
          <c:w val="0.98690671031096344"/>
          <c:h val="7.8431618919975604E-2"/>
        </c:manualLayout>
      </c:layout>
      <c:spPr>
        <a:solidFill>
          <a:srgbClr val="FFFFFF"/>
        </a:solidFill>
        <a:ln w="3175">
          <a:solidFill>
            <a:srgbClr val="FFFFFF"/>
          </a:solidFill>
          <a:prstDash val="solid"/>
        </a:ln>
      </c:spPr>
      <c:txPr>
        <a:bodyPr/>
        <a:lstStyle/>
        <a:p>
          <a:pPr>
            <a:defRPr sz="920" b="0" i="0" u="none" strike="noStrike" baseline="0">
              <a:solidFill>
                <a:srgbClr val="000000"/>
              </a:solidFill>
              <a:latin typeface="Times New Roman"/>
              <a:ea typeface="Times New Roman"/>
              <a:cs typeface="Times New Roman"/>
            </a:defRPr>
          </a:pPr>
          <a:endParaRPr lang="ru-RU"/>
        </a:p>
      </c:txPr>
    </c:legend>
    <c:plotVisOnly val="1"/>
    <c:dispBlanksAs val="gap"/>
  </c:chart>
  <c:spPr>
    <a:solidFill>
      <a:srgbClr val="FFFFFF"/>
    </a:solidFill>
    <a:ln w="12700">
      <a:solidFill>
        <a:srgbClr val="FFFFFF"/>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100" b="1" i="0" u="none" strike="noStrike" baseline="0">
                <a:solidFill>
                  <a:srgbClr val="000000"/>
                </a:solidFill>
                <a:latin typeface="Times New Roman"/>
                <a:ea typeface="Times New Roman"/>
                <a:cs typeface="Times New Roman"/>
              </a:defRPr>
            </a:pPr>
            <a:r>
              <a:rPr lang="ru-RU" sz="1100"/>
              <a:t>Динамика ввода жилья на территории</a:t>
            </a:r>
          </a:p>
          <a:p>
            <a:pPr>
              <a:defRPr sz="1100" b="1" i="0" u="none" strike="noStrike" baseline="0">
                <a:solidFill>
                  <a:srgbClr val="000000"/>
                </a:solidFill>
                <a:latin typeface="Times New Roman"/>
                <a:ea typeface="Times New Roman"/>
                <a:cs typeface="Times New Roman"/>
              </a:defRPr>
            </a:pPr>
            <a:r>
              <a:rPr lang="ru-RU" sz="1100"/>
              <a:t> Белоярского района, тыс. кв.м.</a:t>
            </a:r>
          </a:p>
        </c:rich>
      </c:tx>
      <c:layout>
        <c:manualLayout>
          <c:xMode val="edge"/>
          <c:yMode val="edge"/>
          <c:x val="0.2238367416303178"/>
          <c:y val="1.6051402665575949E-3"/>
        </c:manualLayout>
      </c:layout>
    </c:title>
    <c:view3D>
      <c:depthPercent val="100"/>
      <c:rAngAx val="1"/>
    </c:view3D>
    <c:floor>
      <c:spPr>
        <a:solidFill>
          <a:schemeClr val="accent6">
            <a:lumMod val="75000"/>
            <a:alpha val="19000"/>
          </a:schemeClr>
        </a:solidFill>
      </c:spPr>
    </c:floor>
    <c:plotArea>
      <c:layout>
        <c:manualLayout>
          <c:layoutTarget val="inner"/>
          <c:xMode val="edge"/>
          <c:yMode val="edge"/>
          <c:x val="0"/>
          <c:y val="1.2581334309955469E-2"/>
          <c:w val="0.96514926641364263"/>
          <c:h val="0.77478675630662464"/>
        </c:manualLayout>
      </c:layout>
      <c:bar3DChart>
        <c:barDir val="col"/>
        <c:grouping val="clustered"/>
        <c:ser>
          <c:idx val="0"/>
          <c:order val="0"/>
          <c:spPr>
            <a:gradFill flip="none" rotWithShape="1">
              <a:gsLst>
                <a:gs pos="0">
                  <a:srgbClr val="1F497D">
                    <a:lumMod val="40000"/>
                    <a:lumOff val="60000"/>
                    <a:shade val="30000"/>
                    <a:satMod val="115000"/>
                  </a:srgbClr>
                </a:gs>
                <a:gs pos="50000">
                  <a:srgbClr val="1F497D">
                    <a:lumMod val="40000"/>
                    <a:lumOff val="60000"/>
                    <a:shade val="67500"/>
                    <a:satMod val="115000"/>
                  </a:srgbClr>
                </a:gs>
                <a:gs pos="100000">
                  <a:srgbClr val="1F497D">
                    <a:lumMod val="40000"/>
                    <a:lumOff val="60000"/>
                    <a:shade val="100000"/>
                    <a:satMod val="115000"/>
                  </a:srgbClr>
                </a:gs>
              </a:gsLst>
              <a:path path="circle">
                <a:fillToRect l="50000" t="50000" r="50000" b="50000"/>
              </a:path>
              <a:tileRect/>
            </a:gradFill>
            <a:scene3d>
              <a:camera prst="orthographicFront"/>
              <a:lightRig rig="threePt" dir="t"/>
            </a:scene3d>
            <a:sp3d>
              <a:bevelT/>
            </a:sp3d>
          </c:spPr>
          <c:dLbls>
            <c:dLbl>
              <c:idx val="0"/>
              <c:layout>
                <c:manualLayout>
                  <c:x val="2.867924495838875E-2"/>
                  <c:y val="-2.9270978137970798E-2"/>
                </c:manualLayout>
              </c:layout>
              <c:showVal val="1"/>
            </c:dLbl>
            <c:dLbl>
              <c:idx val="1"/>
              <c:layout>
                <c:manualLayout>
                  <c:x val="2.3216531632981367E-2"/>
                  <c:y val="-3.9724898901531643E-2"/>
                </c:manualLayout>
              </c:layout>
              <c:showVal val="1"/>
            </c:dLbl>
            <c:dLbl>
              <c:idx val="2"/>
              <c:layout>
                <c:manualLayout>
                  <c:x val="2.5947888295685048E-2"/>
                  <c:y val="-3.5543330596107411E-2"/>
                </c:manualLayout>
              </c:layout>
              <c:showVal val="1"/>
            </c:dLbl>
            <c:dLbl>
              <c:idx val="3"/>
              <c:layout>
                <c:manualLayout>
                  <c:x val="3.0044923289740611E-2"/>
                  <c:y val="-3.5543330596107377E-2"/>
                </c:manualLayout>
              </c:layout>
              <c:showVal val="1"/>
            </c:dLbl>
            <c:dLbl>
              <c:idx val="4"/>
              <c:layout>
                <c:manualLayout>
                  <c:x val="2.7313566627036902E-2"/>
                  <c:y val="-3.7634114748819635E-2"/>
                </c:manualLayout>
              </c:layout>
              <c:showVal val="1"/>
            </c:dLbl>
            <c:txPr>
              <a:bodyPr/>
              <a:lstStyle/>
              <a:p>
                <a:pPr>
                  <a:defRPr sz="1100" b="1" i="0" u="none" strike="noStrike" baseline="0">
                    <a:solidFill>
                      <a:srgbClr val="000000"/>
                    </a:solidFill>
                    <a:latin typeface="Times New Roman"/>
                    <a:ea typeface="Times New Roman"/>
                    <a:cs typeface="Times New Roman"/>
                  </a:defRPr>
                </a:pPr>
                <a:endParaRPr lang="ru-RU"/>
              </a:p>
            </c:txPr>
            <c:showVal val="1"/>
          </c:dLbls>
          <c:cat>
            <c:strRef>
              <c:f>Лист1!$A$23:$E$23</c:f>
              <c:strCache>
                <c:ptCount val="5"/>
                <c:pt idx="0">
                  <c:v>2013 год</c:v>
                </c:pt>
                <c:pt idx="1">
                  <c:v>2014 год оценка</c:v>
                </c:pt>
                <c:pt idx="2">
                  <c:v>2015 год прогноз</c:v>
                </c:pt>
                <c:pt idx="3">
                  <c:v>2016 год прогноз</c:v>
                </c:pt>
                <c:pt idx="4">
                  <c:v>2017 год прогноз</c:v>
                </c:pt>
              </c:strCache>
            </c:strRef>
          </c:cat>
          <c:val>
            <c:numRef>
              <c:f>Лист1!$A$24:$E$24</c:f>
              <c:numCache>
                <c:formatCode>General</c:formatCode>
                <c:ptCount val="5"/>
                <c:pt idx="0">
                  <c:v>15.826000000000002</c:v>
                </c:pt>
                <c:pt idx="1">
                  <c:v>16.22</c:v>
                </c:pt>
                <c:pt idx="2" formatCode="0.00">
                  <c:v>20.027000000000001</c:v>
                </c:pt>
                <c:pt idx="3" formatCode="0.00">
                  <c:v>20.015000000000001</c:v>
                </c:pt>
                <c:pt idx="4">
                  <c:v>20.010000000000005</c:v>
                </c:pt>
              </c:numCache>
            </c:numRef>
          </c:val>
        </c:ser>
        <c:dLbls/>
        <c:gapWidth val="68"/>
        <c:gapDepth val="336"/>
        <c:shape val="box"/>
        <c:axId val="143460992"/>
        <c:axId val="143479168"/>
        <c:axId val="0"/>
      </c:bar3DChart>
      <c:catAx>
        <c:axId val="143460992"/>
        <c:scaling>
          <c:orientation val="minMax"/>
        </c:scaling>
        <c:axPos val="b"/>
        <c:numFmt formatCode="General" sourceLinked="1"/>
        <c:majorTickMark val="none"/>
        <c:tickLblPos val="nextTo"/>
        <c:txPr>
          <a:bodyPr rot="0" vert="horz"/>
          <a:lstStyle/>
          <a:p>
            <a:pPr>
              <a:defRPr sz="1100" b="1" i="0" u="none" strike="noStrike" baseline="0">
                <a:solidFill>
                  <a:srgbClr val="000000"/>
                </a:solidFill>
                <a:latin typeface="Times New Roman"/>
                <a:ea typeface="Times New Roman"/>
                <a:cs typeface="Times New Roman"/>
              </a:defRPr>
            </a:pPr>
            <a:endParaRPr lang="ru-RU"/>
          </a:p>
        </c:txPr>
        <c:crossAx val="143479168"/>
        <c:crosses val="autoZero"/>
        <c:auto val="1"/>
        <c:lblAlgn val="ctr"/>
        <c:lblOffset val="100"/>
      </c:catAx>
      <c:valAx>
        <c:axId val="143479168"/>
        <c:scaling>
          <c:orientation val="minMax"/>
        </c:scaling>
        <c:delete val="1"/>
        <c:axPos val="l"/>
        <c:numFmt formatCode="General" sourceLinked="1"/>
        <c:tickLblPos val="none"/>
        <c:crossAx val="143460992"/>
        <c:crosses val="autoZero"/>
        <c:crossBetween val="between"/>
      </c:valAx>
      <c:spPr>
        <a:noFill/>
        <a:ln w="25400">
          <a:noFill/>
        </a:ln>
      </c:spPr>
    </c:plotArea>
    <c:plotVisOnly val="1"/>
    <c:dispBlanksAs val="gap"/>
  </c:chart>
  <c:spPr>
    <a:ln>
      <a:noFill/>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00" b="1" i="0" u="none" strike="noStrike" baseline="0">
                <a:solidFill>
                  <a:srgbClr val="000000"/>
                </a:solidFill>
                <a:latin typeface="Times New Roman"/>
                <a:ea typeface="Times New Roman"/>
                <a:cs typeface="Times New Roman"/>
              </a:defRPr>
            </a:pPr>
            <a:r>
              <a:rPr lang="ru-RU"/>
              <a:t>Динамика развития потребительского рынка на территории Белоярского района</a:t>
            </a:r>
          </a:p>
        </c:rich>
      </c:tx>
      <c:layout>
        <c:manualLayout>
          <c:xMode val="edge"/>
          <c:yMode val="edge"/>
          <c:x val="0.1510249426368874"/>
          <c:y val="1.4705882352941176E-2"/>
        </c:manualLayout>
      </c:layout>
      <c:spPr>
        <a:noFill/>
        <a:ln w="25400">
          <a:noFill/>
        </a:ln>
      </c:spPr>
    </c:title>
    <c:plotArea>
      <c:layout>
        <c:manualLayout>
          <c:layoutTarget val="inner"/>
          <c:xMode val="edge"/>
          <c:yMode val="edge"/>
          <c:x val="0.16181255343053672"/>
          <c:y val="0.22352972054963718"/>
          <c:w val="0.73139274150602607"/>
          <c:h val="0.50392218619730833"/>
        </c:manualLayout>
      </c:layout>
      <c:areaChart>
        <c:grouping val="standard"/>
        <c:ser>
          <c:idx val="0"/>
          <c:order val="0"/>
          <c:tx>
            <c:strRef>
              <c:f>'Белоярский р-н'!$A$76</c:f>
              <c:strCache>
                <c:ptCount val="1"/>
                <c:pt idx="0">
                  <c:v>Розничный товарооборот</c:v>
                </c:pt>
              </c:strCache>
            </c:strRef>
          </c:tx>
          <c:spPr>
            <a:solidFill>
              <a:schemeClr val="accent5">
                <a:lumMod val="60000"/>
                <a:lumOff val="40000"/>
              </a:schemeClr>
            </a:solidFill>
            <a:ln w="12700">
              <a:solidFill>
                <a:srgbClr val="000000"/>
              </a:solidFill>
              <a:prstDash val="solid"/>
            </a:ln>
          </c:spPr>
          <c:dLbls>
            <c:dLbl>
              <c:idx val="0"/>
              <c:layout>
                <c:manualLayout>
                  <c:x val="5.0161741015084166E-2"/>
                  <c:y val="-5.6875363922884281E-2"/>
                </c:manualLayout>
              </c:layout>
              <c:showVal val="1"/>
            </c:dLbl>
            <c:dLbl>
              <c:idx val="1"/>
              <c:layout>
                <c:manualLayout>
                  <c:x val="4.2070371082360012E-3"/>
                  <c:y val="-5.2592829934642385E-2"/>
                </c:manualLayout>
              </c:layout>
              <c:showVal val="1"/>
            </c:dLbl>
            <c:dLbl>
              <c:idx val="2"/>
              <c:layout>
                <c:manualLayout>
                  <c:x val="5.1778038145660074E-3"/>
                  <c:y val="-4.5133203564408184E-2"/>
                </c:manualLayout>
              </c:layout>
              <c:showVal val="1"/>
            </c:dLbl>
            <c:dLbl>
              <c:idx val="3"/>
              <c:layout>
                <c:manualLayout>
                  <c:x val="-1.9418872689533424E-3"/>
                  <c:y val="-5.8601200918924817E-2"/>
                </c:manualLayout>
              </c:layout>
              <c:showVal val="1"/>
            </c:dLbl>
            <c:dLbl>
              <c:idx val="4"/>
              <c:layout>
                <c:manualLayout>
                  <c:x val="-4.7357235685345514E-2"/>
                  <c:y val="-5.9936081519222723E-2"/>
                </c:manualLayout>
              </c:layout>
              <c:showVal val="1"/>
            </c:dLbl>
            <c:dLbl>
              <c:idx val="5"/>
              <c:layout>
                <c:manualLayout>
                  <c:x val="-4.2071447866555284E-2"/>
                  <c:y val="-8.2354236332273206E-2"/>
                </c:manualLayout>
              </c:layout>
              <c:showVal val="1"/>
            </c:dLbl>
            <c:numFmt formatCode="0.0" sourceLinked="0"/>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Val val="1"/>
          </c:dLbls>
          <c:cat>
            <c:strRef>
              <c:f>'Белоярский р-н'!$B$75:$F$75</c:f>
              <c:strCache>
                <c:ptCount val="5"/>
                <c:pt idx="0">
                  <c:v>2013 год    отчет</c:v>
                </c:pt>
                <c:pt idx="1">
                  <c:v>2014 год оценка</c:v>
                </c:pt>
                <c:pt idx="2">
                  <c:v>2015 год прогноз</c:v>
                </c:pt>
                <c:pt idx="3">
                  <c:v>2016 год прогноз</c:v>
                </c:pt>
                <c:pt idx="4">
                  <c:v>2017 год прогноз</c:v>
                </c:pt>
              </c:strCache>
            </c:strRef>
          </c:cat>
          <c:val>
            <c:numRef>
              <c:f>'Белоярский р-н'!$B$76:$F$76</c:f>
              <c:numCache>
                <c:formatCode>0.000</c:formatCode>
                <c:ptCount val="5"/>
                <c:pt idx="0">
                  <c:v>2894.9900000000002</c:v>
                </c:pt>
                <c:pt idx="1">
                  <c:v>3185.97100000002</c:v>
                </c:pt>
                <c:pt idx="2">
                  <c:v>3480.4670000000001</c:v>
                </c:pt>
                <c:pt idx="3">
                  <c:v>3817.078</c:v>
                </c:pt>
                <c:pt idx="4">
                  <c:v>4309.9699999999993</c:v>
                </c:pt>
              </c:numCache>
            </c:numRef>
          </c:val>
        </c:ser>
        <c:ser>
          <c:idx val="1"/>
          <c:order val="1"/>
          <c:tx>
            <c:strRef>
              <c:f>'Белоярский р-н'!$A$77</c:f>
              <c:strCache>
                <c:ptCount val="1"/>
                <c:pt idx="0">
                  <c:v>Платные услуги</c:v>
                </c:pt>
              </c:strCache>
            </c:strRef>
          </c:tx>
          <c:spPr>
            <a:solidFill>
              <a:schemeClr val="accent2">
                <a:lumMod val="40000"/>
                <a:lumOff val="60000"/>
              </a:schemeClr>
            </a:solidFill>
            <a:ln w="12700">
              <a:solidFill>
                <a:srgbClr val="000000"/>
              </a:solidFill>
              <a:prstDash val="solid"/>
            </a:ln>
          </c:spPr>
          <c:dLbls>
            <c:dLbl>
              <c:idx val="0"/>
              <c:layout>
                <c:manualLayout>
                  <c:x val="4.8543615480778797E-2"/>
                  <c:y val="-2.928064225365979E-2"/>
                </c:manualLayout>
              </c:layout>
              <c:showVal val="1"/>
            </c:dLbl>
            <c:dLbl>
              <c:idx val="1"/>
              <c:layout>
                <c:manualLayout>
                  <c:x val="3.4950629982036237E-3"/>
                  <c:y val="-2.9920761864019457E-2"/>
                </c:manualLayout>
              </c:layout>
              <c:showVal val="1"/>
            </c:dLbl>
            <c:dLbl>
              <c:idx val="2"/>
              <c:layout>
                <c:manualLayout>
                  <c:x val="6.7959293488714101E-3"/>
                  <c:y val="-3.3425174720967316E-2"/>
                </c:manualLayout>
              </c:layout>
              <c:showVal val="1"/>
            </c:dLbl>
            <c:dLbl>
              <c:idx val="3"/>
              <c:layout>
                <c:manualLayout>
                  <c:x val="1.294363799657491E-3"/>
                  <c:y val="-3.9668209581358332E-2"/>
                </c:manualLayout>
              </c:layout>
              <c:showVal val="1"/>
            </c:dLbl>
            <c:dLbl>
              <c:idx val="4"/>
              <c:layout>
                <c:manualLayout>
                  <c:x val="-4.6817861359563104E-2"/>
                  <c:y val="-3.13154238073182E-2"/>
                </c:manualLayout>
              </c:layout>
              <c:showVal val="1"/>
            </c:dLbl>
            <c:dLbl>
              <c:idx val="5"/>
              <c:layout>
                <c:manualLayout>
                  <c:x val="-3.3980820195028474E-2"/>
                  <c:y val="-4.491264664561774E-2"/>
                </c:manualLayout>
              </c:layout>
              <c:showVal val="1"/>
            </c:dLbl>
            <c:numFmt formatCode="0.0" sourceLinked="0"/>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Val val="1"/>
          </c:dLbls>
          <c:cat>
            <c:strRef>
              <c:f>'Белоярский р-н'!$B$75:$F$75</c:f>
              <c:strCache>
                <c:ptCount val="5"/>
                <c:pt idx="0">
                  <c:v>2013 год    отчет</c:v>
                </c:pt>
                <c:pt idx="1">
                  <c:v>2014 год оценка</c:v>
                </c:pt>
                <c:pt idx="2">
                  <c:v>2015 год прогноз</c:v>
                </c:pt>
                <c:pt idx="3">
                  <c:v>2016 год прогноз</c:v>
                </c:pt>
                <c:pt idx="4">
                  <c:v>2017 год прогноз</c:v>
                </c:pt>
              </c:strCache>
            </c:strRef>
          </c:cat>
          <c:val>
            <c:numRef>
              <c:f>'Белоярский р-н'!$B$77:$F$77</c:f>
              <c:numCache>
                <c:formatCode>0.000</c:formatCode>
                <c:ptCount val="5"/>
                <c:pt idx="0">
                  <c:v>1370.289</c:v>
                </c:pt>
                <c:pt idx="1">
                  <c:v>1487.579</c:v>
                </c:pt>
                <c:pt idx="2">
                  <c:v>1602.0889999999999</c:v>
                </c:pt>
                <c:pt idx="3">
                  <c:v>1731.5629999999999</c:v>
                </c:pt>
                <c:pt idx="4">
                  <c:v>1889.1279999999999</c:v>
                </c:pt>
              </c:numCache>
            </c:numRef>
          </c:val>
        </c:ser>
        <c:ser>
          <c:idx val="2"/>
          <c:order val="2"/>
          <c:tx>
            <c:strRef>
              <c:f>'Белоярский р-н'!$A$78</c:f>
              <c:strCache>
                <c:ptCount val="1"/>
                <c:pt idx="0">
                  <c:v>Общественное питание</c:v>
                </c:pt>
              </c:strCache>
            </c:strRef>
          </c:tx>
          <c:spPr>
            <a:solidFill>
              <a:schemeClr val="accent3">
                <a:lumMod val="40000"/>
                <a:lumOff val="60000"/>
              </a:schemeClr>
            </a:solidFill>
            <a:ln w="12700">
              <a:solidFill>
                <a:srgbClr val="000000"/>
              </a:solidFill>
              <a:prstDash val="solid"/>
            </a:ln>
          </c:spPr>
          <c:dLbls>
            <c:dLbl>
              <c:idx val="0"/>
              <c:layout>
                <c:manualLayout>
                  <c:x val="4.6925500174309666E-2"/>
                  <c:y val="-6.1454516966946747E-3"/>
                </c:manualLayout>
              </c:layout>
              <c:showVal val="1"/>
            </c:dLbl>
            <c:dLbl>
              <c:idx val="4"/>
              <c:layout>
                <c:manualLayout>
                  <c:x val="-3.883495145631069E-2"/>
                  <c:y val="0"/>
                </c:manualLayout>
              </c:layout>
              <c:showVal val="1"/>
            </c:dLbl>
            <c:dLbl>
              <c:idx val="5"/>
              <c:layout>
                <c:manualLayout>
                  <c:x val="-2.7508307829971226E-2"/>
                  <c:y val="-6.5459584242617561E-3"/>
                </c:manualLayout>
              </c:layout>
              <c:showVal val="1"/>
            </c:dLbl>
            <c:numFmt formatCode="0.0" sourceLinked="0"/>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Val val="1"/>
          </c:dLbls>
          <c:cat>
            <c:strRef>
              <c:f>'Белоярский р-н'!$B$75:$F$75</c:f>
              <c:strCache>
                <c:ptCount val="5"/>
                <c:pt idx="0">
                  <c:v>2013 год    отчет</c:v>
                </c:pt>
                <c:pt idx="1">
                  <c:v>2014 год оценка</c:v>
                </c:pt>
                <c:pt idx="2">
                  <c:v>2015 год прогноз</c:v>
                </c:pt>
                <c:pt idx="3">
                  <c:v>2016 год прогноз</c:v>
                </c:pt>
                <c:pt idx="4">
                  <c:v>2017 год прогноз</c:v>
                </c:pt>
              </c:strCache>
            </c:strRef>
          </c:cat>
          <c:val>
            <c:numRef>
              <c:f>'Белоярский р-н'!$B$78:$F$78</c:f>
              <c:numCache>
                <c:formatCode>0.000</c:formatCode>
                <c:ptCount val="5"/>
                <c:pt idx="0">
                  <c:v>534.47299999999996</c:v>
                </c:pt>
                <c:pt idx="1">
                  <c:v>628.73699999999997</c:v>
                </c:pt>
                <c:pt idx="2">
                  <c:v>714.39300000000003</c:v>
                </c:pt>
                <c:pt idx="3">
                  <c:v>832.86399999999946</c:v>
                </c:pt>
                <c:pt idx="4">
                  <c:v>991.84999999999798</c:v>
                </c:pt>
              </c:numCache>
            </c:numRef>
          </c:val>
        </c:ser>
        <c:dLbls/>
        <c:axId val="143603968"/>
        <c:axId val="143630336"/>
      </c:areaChart>
      <c:catAx>
        <c:axId val="143603968"/>
        <c:scaling>
          <c:orientation val="minMax"/>
        </c:scaling>
        <c:axPos val="b"/>
        <c:numFmt formatCode="General" sourceLinked="1"/>
        <c:tickLblPos val="nextTo"/>
        <c:spPr>
          <a:ln w="3175">
            <a:solidFill>
              <a:srgbClr val="000000"/>
            </a:solidFill>
            <a:prstDash val="solid"/>
          </a:ln>
        </c:spPr>
        <c:txPr>
          <a:bodyPr rot="0" vert="horz"/>
          <a:lstStyle/>
          <a:p>
            <a:pPr>
              <a:defRPr sz="1100" b="0" i="0" u="none" strike="noStrike" baseline="0">
                <a:solidFill>
                  <a:srgbClr val="000000"/>
                </a:solidFill>
                <a:latin typeface="Times New Roman"/>
                <a:ea typeface="Times New Roman"/>
                <a:cs typeface="Times New Roman"/>
              </a:defRPr>
            </a:pPr>
            <a:endParaRPr lang="ru-RU"/>
          </a:p>
        </c:txPr>
        <c:crossAx val="143630336"/>
        <c:crosses val="autoZero"/>
        <c:auto val="1"/>
        <c:lblAlgn val="ctr"/>
        <c:lblOffset val="100"/>
        <c:tickLblSkip val="1"/>
        <c:tickMarkSkip val="1"/>
      </c:catAx>
      <c:valAx>
        <c:axId val="143630336"/>
        <c:scaling>
          <c:orientation val="minMax"/>
          <c:max val="4400"/>
          <c:min val="0"/>
        </c:scaling>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Times New Roman"/>
                    <a:ea typeface="Times New Roman"/>
                    <a:cs typeface="Times New Roman"/>
                  </a:defRPr>
                </a:pPr>
                <a:r>
                  <a:rPr lang="ru-RU"/>
                  <a:t>млн. руб.</a:t>
                </a:r>
              </a:p>
            </c:rich>
          </c:tx>
          <c:layout>
            <c:manualLayout>
              <c:xMode val="edge"/>
              <c:yMode val="edge"/>
              <c:x val="3.3980587332243843E-2"/>
              <c:y val="0.40588297051104327"/>
            </c:manualLayout>
          </c:layout>
          <c:spPr>
            <a:noFill/>
            <a:ln w="25400">
              <a:noFill/>
            </a:ln>
          </c:spPr>
        </c:title>
        <c:numFmt formatCode="0" sourceLinked="0"/>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43603968"/>
        <c:crosses val="autoZero"/>
        <c:crossBetween val="midCat"/>
        <c:majorUnit val="400"/>
      </c:valAx>
      <c:spPr>
        <a:solidFill>
          <a:srgbClr val="FFFFFF"/>
        </a:solidFill>
        <a:ln w="12700">
          <a:solidFill>
            <a:srgbClr val="FFFFFF"/>
          </a:solidFill>
          <a:prstDash val="solid"/>
        </a:ln>
      </c:spPr>
    </c:plotArea>
    <c:legend>
      <c:legendPos val="b"/>
      <c:layout>
        <c:manualLayout>
          <c:xMode val="edge"/>
          <c:yMode val="edge"/>
          <c:x val="1.4563132438633851E-2"/>
          <c:y val="0.90882476455149064"/>
          <c:w val="0.96602089833111171"/>
          <c:h val="7.0588235294117632E-2"/>
        </c:manualLayout>
      </c:layout>
      <c:spPr>
        <a:noFill/>
        <a:ln w="25400">
          <a:noFill/>
        </a:ln>
      </c:spPr>
      <c:txPr>
        <a:bodyPr/>
        <a:lstStyle/>
        <a:p>
          <a:pPr>
            <a:defRPr sz="920" b="0" i="0" u="none" strike="noStrike" baseline="0">
              <a:solidFill>
                <a:srgbClr val="000000"/>
              </a:solidFill>
              <a:latin typeface="Times New Roman"/>
              <a:ea typeface="Times New Roman"/>
              <a:cs typeface="Times New Roman"/>
            </a:defRPr>
          </a:pPr>
          <a:endParaRPr lang="ru-RU"/>
        </a:p>
      </c:txPr>
    </c:legend>
    <c:plotVisOnly val="1"/>
    <c:dispBlanksAs val="zero"/>
  </c:chart>
  <c:spPr>
    <a:solidFill>
      <a:srgbClr val="FFFFFF"/>
    </a:solidFill>
    <a:ln w="3175">
      <a:solidFill>
        <a:srgbClr val="FFFFFF"/>
      </a:solidFill>
      <a:prstDash val="solid"/>
    </a:ln>
  </c:spPr>
  <c:txPr>
    <a:bodyPr/>
    <a:lstStyle/>
    <a:p>
      <a:pPr>
        <a:defRPr sz="1150" b="0" i="0" u="none" strike="noStrike" baseline="0">
          <a:solidFill>
            <a:srgbClr val="000000"/>
          </a:solidFill>
          <a:latin typeface="Arial Cyr"/>
          <a:ea typeface="Arial Cyr"/>
          <a:cs typeface="Arial Cy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00" b="1" i="0" u="none" strike="noStrike" baseline="0">
                <a:solidFill>
                  <a:srgbClr val="000000"/>
                </a:solidFill>
                <a:latin typeface="Times New Roman"/>
                <a:ea typeface="Times New Roman"/>
                <a:cs typeface="Times New Roman"/>
              </a:defRPr>
            </a:pPr>
            <a:r>
              <a:rPr lang="ru-RU"/>
              <a:t>Динамика занятых в сфере малого предпринимательства на территории Белоярского района, чел.</a:t>
            </a:r>
          </a:p>
        </c:rich>
      </c:tx>
      <c:layout>
        <c:manualLayout>
          <c:xMode val="edge"/>
          <c:yMode val="edge"/>
          <c:x val="0.13764528190195141"/>
          <c:y val="2.0648967551622727E-2"/>
        </c:manualLayout>
      </c:layout>
      <c:spPr>
        <a:noFill/>
        <a:ln w="25400">
          <a:noFill/>
        </a:ln>
      </c:spPr>
    </c:title>
    <c:view3D>
      <c:hPercent val="45"/>
      <c:depthPercent val="100"/>
      <c:rAngAx val="1"/>
    </c:view3D>
    <c:floor>
      <c:spPr>
        <a:blipFill dpi="0" rotWithShape="0">
          <a:blip xmlns:r="http://schemas.openxmlformats.org/officeDocument/2006/relationships" r:embed="rId1"/>
          <a:srcRect/>
          <a:tile tx="0" ty="0" sx="100000" sy="100000" flip="none" algn="tl"/>
        </a:blipFill>
        <a:ln w="3175">
          <a:solidFill>
            <a:srgbClr val="000000"/>
          </a:solidFill>
          <a:prstDash val="solid"/>
        </a:ln>
      </c:spPr>
    </c:floor>
    <c:sideWall>
      <c:spPr>
        <a:noFill/>
        <a:ln w="12700">
          <a:solidFill>
            <a:srgbClr val="FFFFFF"/>
          </a:solidFill>
          <a:prstDash val="solid"/>
        </a:ln>
      </c:spPr>
    </c:sideWall>
    <c:backWall>
      <c:spPr>
        <a:noFill/>
        <a:ln w="12700">
          <a:solidFill>
            <a:srgbClr val="FFFFFF"/>
          </a:solidFill>
          <a:prstDash val="solid"/>
        </a:ln>
      </c:spPr>
    </c:backWall>
    <c:plotArea>
      <c:layout>
        <c:manualLayout>
          <c:layoutTarget val="inner"/>
          <c:xMode val="edge"/>
          <c:yMode val="edge"/>
          <c:x val="8.8871698530224336E-2"/>
          <c:y val="0.2134771491192467"/>
          <c:w val="0.92205787802180184"/>
          <c:h val="0.63127025508808798"/>
        </c:manualLayout>
      </c:layout>
      <c:bar3DChart>
        <c:barDir val="col"/>
        <c:grouping val="clustered"/>
        <c:ser>
          <c:idx val="0"/>
          <c:order val="0"/>
          <c:tx>
            <c:strRef>
              <c:f>Лист2!$A$28</c:f>
              <c:strCache>
                <c:ptCount val="1"/>
                <c:pt idx="0">
                  <c:v>численность занятых в малом предпринимательстве</c:v>
                </c:pt>
              </c:strCache>
            </c:strRef>
          </c:tx>
          <c:spPr>
            <a:gradFill flip="none" rotWithShape="1">
              <a:gsLst>
                <a:gs pos="0">
                  <a:schemeClr val="accent3">
                    <a:lumMod val="60000"/>
                    <a:lumOff val="40000"/>
                  </a:schemeClr>
                </a:gs>
                <a:gs pos="100000">
                  <a:srgbClr val="CCCCFF">
                    <a:gamma/>
                    <a:shade val="50588"/>
                    <a:invGamma/>
                  </a:srgbClr>
                </a:gs>
              </a:gsLst>
              <a:path path="circle">
                <a:fillToRect l="100000" t="100000"/>
              </a:path>
              <a:tileRect r="-100000" b="-100000"/>
            </a:gradFill>
            <a:ln w="12700">
              <a:solidFill>
                <a:srgbClr val="000000"/>
              </a:solidFill>
              <a:prstDash val="solid"/>
            </a:ln>
          </c:spPr>
          <c:dLbls>
            <c:dLbl>
              <c:idx val="0"/>
              <c:layout>
                <c:manualLayout>
                  <c:x val="-2.5824172535710212E-2"/>
                  <c:y val="-2.3141933841893192E-3"/>
                </c:manualLayout>
              </c:layout>
              <c:showVal val="1"/>
            </c:dLbl>
            <c:dLbl>
              <c:idx val="1"/>
              <c:layout>
                <c:manualLayout>
                  <c:x val="-8.7147664712076845E-3"/>
                  <c:y val="1.3563164798165872E-4"/>
                </c:manualLayout>
              </c:layout>
              <c:tx>
                <c:rich>
                  <a:bodyPr/>
                  <a:lstStyle/>
                  <a:p>
                    <a:r>
                      <a:rPr lang="en-US"/>
                      <a:t>42</a:t>
                    </a:r>
                    <a:r>
                      <a:rPr lang="ru-RU"/>
                      <a:t>00</a:t>
                    </a:r>
                    <a:endParaRPr lang="en-US"/>
                  </a:p>
                </c:rich>
              </c:tx>
              <c:showVal val="1"/>
            </c:dLbl>
            <c:dLbl>
              <c:idx val="2"/>
              <c:layout>
                <c:manualLayout>
                  <c:x val="-1.5557993850338358E-3"/>
                  <c:y val="5.5353176852371965E-3"/>
                </c:manualLayout>
              </c:layout>
              <c:showVal val="1"/>
            </c:dLbl>
            <c:dLbl>
              <c:idx val="3"/>
              <c:layout>
                <c:manualLayout>
                  <c:x val="1.0578474244099243E-2"/>
                  <c:y val="-6.7638526122129434E-3"/>
                </c:manualLayout>
              </c:layout>
              <c:showVal val="1"/>
            </c:dLbl>
            <c:dLbl>
              <c:idx val="4"/>
              <c:layout>
                <c:manualLayout>
                  <c:x val="2.6029502830145254E-2"/>
                  <c:y val="-1.3163610595295369E-2"/>
                </c:manualLayout>
              </c:layout>
              <c:showVal val="1"/>
            </c:dLbl>
            <c:dLbl>
              <c:idx val="5"/>
              <c:layout>
                <c:manualLayout>
                  <c:x val="3.1530266545452351E-2"/>
                  <c:y val="-1.3413628581752129E-2"/>
                </c:manualLayout>
              </c:layout>
              <c:showVal val="1"/>
            </c:dLbl>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Val val="1"/>
          </c:dLbls>
          <c:cat>
            <c:strRef>
              <c:f>Лист2!$B$27:$F$27</c:f>
              <c:strCache>
                <c:ptCount val="5"/>
                <c:pt idx="0">
                  <c:v>2013 год    отчет</c:v>
                </c:pt>
                <c:pt idx="1">
                  <c:v>2014 год оценка</c:v>
                </c:pt>
                <c:pt idx="2">
                  <c:v>2015 год прогноз</c:v>
                </c:pt>
                <c:pt idx="3">
                  <c:v>2016 год прогноз</c:v>
                </c:pt>
                <c:pt idx="4">
                  <c:v>2017 год прогноз</c:v>
                </c:pt>
              </c:strCache>
            </c:strRef>
          </c:cat>
          <c:val>
            <c:numRef>
              <c:f>Лист2!$B$28:$F$28</c:f>
              <c:numCache>
                <c:formatCode>General</c:formatCode>
                <c:ptCount val="5"/>
                <c:pt idx="0">
                  <c:v>4120</c:v>
                </c:pt>
                <c:pt idx="1">
                  <c:v>4230</c:v>
                </c:pt>
                <c:pt idx="2">
                  <c:v>4260</c:v>
                </c:pt>
                <c:pt idx="3">
                  <c:v>4290</c:v>
                </c:pt>
                <c:pt idx="4">
                  <c:v>4310</c:v>
                </c:pt>
              </c:numCache>
            </c:numRef>
          </c:val>
          <c:shape val="box"/>
        </c:ser>
        <c:dLbls/>
        <c:gapWidth val="110"/>
        <c:gapDepth val="100"/>
        <c:shape val="cylinder"/>
        <c:axId val="143668352"/>
        <c:axId val="143669888"/>
        <c:axId val="0"/>
      </c:bar3DChart>
      <c:catAx>
        <c:axId val="143668352"/>
        <c:scaling>
          <c:orientation val="minMax"/>
        </c:scaling>
        <c:axPos val="b"/>
        <c:numFmt formatCode="General" sourceLinked="1"/>
        <c:tickLblPos val="low"/>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43669888"/>
        <c:crosses val="autoZero"/>
        <c:auto val="1"/>
        <c:lblAlgn val="ctr"/>
        <c:lblOffset val="100"/>
        <c:tickLblSkip val="1"/>
        <c:tickMarkSkip val="1"/>
      </c:catAx>
      <c:valAx>
        <c:axId val="143669888"/>
        <c:scaling>
          <c:orientation val="minMax"/>
        </c:scaling>
        <c:axPos val="l"/>
        <c:majorGridlines>
          <c:spPr>
            <a:ln w="3175">
              <a:solidFill>
                <a:srgbClr val="FFFFFF"/>
              </a:solidFill>
              <a:prstDash val="solid"/>
            </a:ln>
          </c:spPr>
        </c:majorGridlines>
        <c:numFmt formatCode="General" sourceLinked="1"/>
        <c:tickLblPos val="nextTo"/>
        <c:spPr>
          <a:ln w="3175">
            <a:solidFill>
              <a:srgbClr val="FFFFFF"/>
            </a:solidFill>
            <a:prstDash val="solid"/>
          </a:ln>
        </c:spPr>
        <c:txPr>
          <a:bodyPr rot="0" vert="horz"/>
          <a:lstStyle/>
          <a:p>
            <a:pPr>
              <a:defRPr sz="1200" b="0" i="0" u="none" strike="noStrike" baseline="0">
                <a:solidFill>
                  <a:srgbClr val="FFFFFF"/>
                </a:solidFill>
                <a:latin typeface="Times New Roman"/>
                <a:ea typeface="Times New Roman"/>
                <a:cs typeface="Times New Roman"/>
              </a:defRPr>
            </a:pPr>
            <a:endParaRPr lang="ru-RU"/>
          </a:p>
        </c:txPr>
        <c:crossAx val="143668352"/>
        <c:crosses val="autoZero"/>
        <c:crossBetween val="between"/>
      </c:valAx>
      <c:spPr>
        <a:noFill/>
        <a:ln w="25400">
          <a:noFill/>
        </a:ln>
      </c:spPr>
    </c:plotArea>
    <c:plotVisOnly val="1"/>
    <c:dispBlanksAs val="gap"/>
  </c:chart>
  <c:spPr>
    <a:solidFill>
      <a:srgbClr val="FFFFFF"/>
    </a:solidFill>
    <a:ln w="12700">
      <a:solidFill>
        <a:srgbClr val="FFFFFF"/>
      </a:solidFill>
      <a:prstDash val="solid"/>
    </a:ln>
  </c:spPr>
  <c:txPr>
    <a:bodyPr/>
    <a:lstStyle/>
    <a:p>
      <a:pPr>
        <a:defRPr sz="1150" b="0" i="0" u="none" strike="noStrike" baseline="0">
          <a:solidFill>
            <a:srgbClr val="000000"/>
          </a:solidFill>
          <a:latin typeface="Arial Cyr"/>
          <a:ea typeface="Arial Cyr"/>
          <a:cs typeface="Arial Cyr"/>
        </a:defRPr>
      </a:pPr>
      <a:endParaRPr lang="ru-RU"/>
    </a:p>
  </c:tx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00" b="1" i="0" u="none" strike="noStrike" baseline="0">
                <a:solidFill>
                  <a:srgbClr val="000000"/>
                </a:solidFill>
                <a:latin typeface="Times New Roman"/>
                <a:ea typeface="Times New Roman"/>
                <a:cs typeface="Times New Roman"/>
              </a:defRPr>
            </a:pPr>
            <a:r>
              <a:rPr lang="ru-RU"/>
              <a:t>Отраслевая структура малых предприятий, зарегистрированных на территории Белоярского района в 2014 году</a:t>
            </a:r>
          </a:p>
        </c:rich>
      </c:tx>
      <c:layout>
        <c:manualLayout>
          <c:xMode val="edge"/>
          <c:yMode val="edge"/>
          <c:x val="0.11639361473258469"/>
          <c:y val="1.4409221902017301E-2"/>
        </c:manualLayout>
      </c:layout>
      <c:spPr>
        <a:noFill/>
        <a:ln w="25400">
          <a:noFill/>
        </a:ln>
      </c:spPr>
    </c:title>
    <c:view3D>
      <c:rotX val="25"/>
      <c:rotY val="170"/>
      <c:perspective val="0"/>
    </c:view3D>
    <c:plotArea>
      <c:layout>
        <c:manualLayout>
          <c:layoutTarget val="inner"/>
          <c:xMode val="edge"/>
          <c:yMode val="edge"/>
          <c:x val="0.22623192258293337"/>
          <c:y val="0.41168735809864282"/>
          <c:w val="0.50000249477172742"/>
          <c:h val="0.48150127921707292"/>
        </c:manualLayout>
      </c:layout>
      <c:pie3DChart>
        <c:varyColors val="1"/>
        <c:ser>
          <c:idx val="0"/>
          <c:order val="0"/>
          <c:tx>
            <c:strRef>
              <c:f>Лист2!$D$52</c:f>
              <c:strCache>
                <c:ptCount val="1"/>
                <c:pt idx="0">
                  <c:v>2014 год </c:v>
                </c:pt>
              </c:strCache>
            </c:strRef>
          </c:tx>
          <c:spPr>
            <a:solidFill>
              <a:srgbClr val="9999FF"/>
            </a:solidFill>
            <a:ln w="12700">
              <a:solidFill>
                <a:srgbClr val="000000"/>
              </a:solidFill>
              <a:prstDash val="solid"/>
            </a:ln>
          </c:spPr>
          <c:explosion val="25"/>
          <c:dPt>
            <c:idx val="0"/>
            <c:spPr>
              <a:gradFill rotWithShape="0">
                <a:gsLst>
                  <a:gs pos="0">
                    <a:srgbClr val="9999FF"/>
                  </a:gs>
                  <a:gs pos="100000">
                    <a:srgbClr val="9999FF">
                      <a:gamma/>
                      <a:shade val="64314"/>
                      <a:invGamma/>
                    </a:srgbClr>
                  </a:gs>
                </a:gsLst>
                <a:path path="rect">
                  <a:fillToRect t="100000" r="100000"/>
                </a:path>
              </a:gradFill>
              <a:ln w="12700">
                <a:solidFill>
                  <a:srgbClr val="000000"/>
                </a:solidFill>
                <a:prstDash val="solid"/>
              </a:ln>
            </c:spPr>
          </c:dPt>
          <c:dPt>
            <c:idx val="1"/>
            <c:spPr>
              <a:gradFill rotWithShape="0">
                <a:gsLst>
                  <a:gs pos="0">
                    <a:srgbClr val="CC99FF"/>
                  </a:gs>
                  <a:gs pos="100000">
                    <a:srgbClr val="CC99FF">
                      <a:gamma/>
                      <a:shade val="57647"/>
                      <a:invGamma/>
                    </a:srgbClr>
                  </a:gs>
                </a:gsLst>
                <a:path path="rect">
                  <a:fillToRect r="100000" b="100000"/>
                </a:path>
              </a:gradFill>
              <a:ln w="12700">
                <a:solidFill>
                  <a:srgbClr val="000000"/>
                </a:solidFill>
                <a:prstDash val="solid"/>
              </a:ln>
            </c:spPr>
          </c:dPt>
          <c:dPt>
            <c:idx val="2"/>
            <c:spPr>
              <a:gradFill rotWithShape="0">
                <a:gsLst>
                  <a:gs pos="0">
                    <a:srgbClr val="FF99CC"/>
                  </a:gs>
                  <a:gs pos="100000">
                    <a:srgbClr val="FF99CC">
                      <a:gamma/>
                      <a:shade val="46275"/>
                      <a:invGamma/>
                    </a:srgbClr>
                  </a:gs>
                </a:gsLst>
                <a:path path="rect">
                  <a:fillToRect l="100000" b="100000"/>
                </a:path>
              </a:gradFill>
              <a:ln w="12700">
                <a:solidFill>
                  <a:srgbClr val="000000"/>
                </a:solidFill>
                <a:prstDash val="solid"/>
              </a:ln>
            </c:spPr>
          </c:dPt>
          <c:dPt>
            <c:idx val="3"/>
            <c:spPr>
              <a:gradFill rotWithShape="0">
                <a:gsLst>
                  <a:gs pos="0">
                    <a:srgbClr val="99CC00"/>
                  </a:gs>
                  <a:gs pos="100000">
                    <a:srgbClr val="99CC00">
                      <a:gamma/>
                      <a:shade val="46275"/>
                      <a:invGamma/>
                    </a:srgbClr>
                  </a:gs>
                </a:gsLst>
                <a:path path="rect">
                  <a:fillToRect l="100000" b="100000"/>
                </a:path>
              </a:gradFill>
              <a:ln w="12700">
                <a:solidFill>
                  <a:srgbClr val="000000"/>
                </a:solidFill>
                <a:prstDash val="solid"/>
              </a:ln>
            </c:spPr>
          </c:dPt>
          <c:dPt>
            <c:idx val="4"/>
            <c:spPr>
              <a:gradFill rotWithShape="0">
                <a:gsLst>
                  <a:gs pos="0">
                    <a:srgbClr val="FFCC99"/>
                  </a:gs>
                  <a:gs pos="100000">
                    <a:srgbClr val="FFCC99">
                      <a:gamma/>
                      <a:shade val="80392"/>
                      <a:invGamma/>
                    </a:srgbClr>
                  </a:gs>
                </a:gsLst>
                <a:path path="rect">
                  <a:fillToRect l="100000" b="100000"/>
                </a:path>
              </a:gradFill>
              <a:ln w="12700">
                <a:solidFill>
                  <a:srgbClr val="000000"/>
                </a:solidFill>
                <a:prstDash val="solid"/>
              </a:ln>
            </c:spPr>
          </c:dPt>
          <c:dPt>
            <c:idx val="5"/>
            <c:spPr>
              <a:gradFill rotWithShape="0">
                <a:gsLst>
                  <a:gs pos="0">
                    <a:srgbClr val="FF8080"/>
                  </a:gs>
                  <a:gs pos="100000">
                    <a:srgbClr val="FF8080">
                      <a:gamma/>
                      <a:shade val="64314"/>
                      <a:invGamma/>
                    </a:srgbClr>
                  </a:gs>
                </a:gsLst>
                <a:path path="rect">
                  <a:fillToRect l="100000" t="100000"/>
                </a:path>
              </a:gradFill>
              <a:ln w="12700">
                <a:solidFill>
                  <a:srgbClr val="000000"/>
                </a:solidFill>
                <a:prstDash val="solid"/>
              </a:ln>
            </c:spPr>
          </c:dPt>
          <c:dLbls>
            <c:dLbl>
              <c:idx val="0"/>
              <c:layout>
                <c:manualLayout>
                  <c:x val="-7.3312680177272924E-2"/>
                  <c:y val="-0.17236727253473721"/>
                </c:manualLayout>
              </c:layout>
              <c:tx>
                <c:rich>
                  <a:bodyPr/>
                  <a:lstStyle/>
                  <a:p>
                    <a:pPr>
                      <a:defRPr sz="1175" b="0" i="0" u="none" strike="noStrike" baseline="0">
                        <a:solidFill>
                          <a:srgbClr val="000000"/>
                        </a:solidFill>
                        <a:latin typeface="Arial Cyr"/>
                        <a:ea typeface="Arial Cyr"/>
                        <a:cs typeface="Arial Cyr"/>
                      </a:defRPr>
                    </a:pPr>
                    <a:r>
                      <a:rPr lang="ru-RU" sz="825" b="0" i="0" u="none" strike="noStrike" baseline="0">
                        <a:solidFill>
                          <a:srgbClr val="000000"/>
                        </a:solidFill>
                        <a:latin typeface="Times New Roman"/>
                        <a:cs typeface="Times New Roman"/>
                      </a:rPr>
                      <a:t>оптовая и розничная торговля, ремонт автотранспортных средств и др.</a:t>
                    </a:r>
                    <a:endParaRPr lang="ru-RU" sz="825" b="1" i="0" u="none" strike="noStrike" baseline="0">
                      <a:solidFill>
                        <a:srgbClr val="000000"/>
                      </a:solidFill>
                      <a:latin typeface="Times New Roman"/>
                      <a:cs typeface="Times New Roman"/>
                    </a:endParaRPr>
                  </a:p>
                  <a:p>
                    <a:pPr>
                      <a:defRPr sz="1175" b="0" i="0" u="none" strike="noStrike" baseline="0">
                        <a:solidFill>
                          <a:srgbClr val="000000"/>
                        </a:solidFill>
                        <a:latin typeface="Arial Cyr"/>
                        <a:ea typeface="Arial Cyr"/>
                        <a:cs typeface="Arial Cyr"/>
                      </a:defRPr>
                    </a:pPr>
                    <a:r>
                      <a:rPr lang="ru-RU" sz="825" b="1" i="0" u="none" strike="noStrike" baseline="0">
                        <a:solidFill>
                          <a:srgbClr val="000000"/>
                        </a:solidFill>
                        <a:latin typeface="Times New Roman"/>
                        <a:cs typeface="Times New Roman"/>
                      </a:rPr>
                      <a:t>29,9%</a:t>
                    </a:r>
                  </a:p>
                </c:rich>
              </c:tx>
              <c:spPr>
                <a:noFill/>
                <a:ln w="25400">
                  <a:noFill/>
                </a:ln>
              </c:spPr>
              <c:dLblPos val="bestFit"/>
            </c:dLbl>
            <c:dLbl>
              <c:idx val="1"/>
              <c:layout>
                <c:manualLayout>
                  <c:x val="-2.0324057715302598E-2"/>
                  <c:y val="-2.6221909581187256E-2"/>
                </c:manualLayout>
              </c:layout>
              <c:tx>
                <c:rich>
                  <a:bodyPr/>
                  <a:lstStyle/>
                  <a:p>
                    <a:pPr>
                      <a:defRPr sz="1175" b="0" i="0" u="none" strike="noStrike" baseline="0">
                        <a:solidFill>
                          <a:srgbClr val="000000"/>
                        </a:solidFill>
                        <a:latin typeface="Arial Cyr"/>
                        <a:ea typeface="Arial Cyr"/>
                        <a:cs typeface="Arial Cyr"/>
                      </a:defRPr>
                    </a:pPr>
                    <a:r>
                      <a:rPr lang="ru-RU" sz="825" b="0" i="0" u="none" strike="noStrike" baseline="0">
                        <a:solidFill>
                          <a:srgbClr val="000000"/>
                        </a:solidFill>
                        <a:latin typeface="Times New Roman"/>
                        <a:cs typeface="Times New Roman"/>
                      </a:rPr>
                      <a:t>транспорт и связь</a:t>
                    </a:r>
                    <a:endParaRPr lang="ru-RU" sz="825" b="1" i="0" u="none" strike="noStrike" baseline="0">
                      <a:solidFill>
                        <a:srgbClr val="000000"/>
                      </a:solidFill>
                      <a:latin typeface="Times New Roman"/>
                      <a:cs typeface="Times New Roman"/>
                    </a:endParaRPr>
                  </a:p>
                  <a:p>
                    <a:pPr>
                      <a:defRPr sz="1175" b="0" i="0" u="none" strike="noStrike" baseline="0">
                        <a:solidFill>
                          <a:srgbClr val="000000"/>
                        </a:solidFill>
                        <a:latin typeface="Arial Cyr"/>
                        <a:ea typeface="Arial Cyr"/>
                        <a:cs typeface="Arial Cyr"/>
                      </a:defRPr>
                    </a:pPr>
                    <a:r>
                      <a:rPr lang="ru-RU" sz="825" b="1" i="0" u="none" strike="noStrike" baseline="0">
                        <a:solidFill>
                          <a:srgbClr val="000000"/>
                        </a:solidFill>
                        <a:latin typeface="Times New Roman"/>
                        <a:cs typeface="Times New Roman"/>
                      </a:rPr>
                      <a:t>18,0%</a:t>
                    </a:r>
                  </a:p>
                </c:rich>
              </c:tx>
              <c:spPr>
                <a:noFill/>
                <a:ln w="25400">
                  <a:noFill/>
                </a:ln>
              </c:spPr>
              <c:dLblPos val="bestFit"/>
            </c:dLbl>
            <c:dLbl>
              <c:idx val="2"/>
              <c:layout>
                <c:manualLayout>
                  <c:x val="3.5270943591067652E-2"/>
                  <c:y val="-6.5393209134161592E-2"/>
                </c:manualLayout>
              </c:layout>
              <c:tx>
                <c:rich>
                  <a:bodyPr/>
                  <a:lstStyle/>
                  <a:p>
                    <a:pPr>
                      <a:defRPr sz="1175" b="0" i="0" u="none" strike="noStrike" baseline="0">
                        <a:solidFill>
                          <a:srgbClr val="000000"/>
                        </a:solidFill>
                        <a:latin typeface="Arial Cyr"/>
                        <a:ea typeface="Arial Cyr"/>
                        <a:cs typeface="Arial Cyr"/>
                      </a:defRPr>
                    </a:pPr>
                    <a:r>
                      <a:rPr lang="ru-RU" sz="825" b="0" i="0" u="none" strike="noStrike" baseline="0">
                        <a:solidFill>
                          <a:srgbClr val="000000"/>
                        </a:solidFill>
                        <a:latin typeface="Times New Roman"/>
                        <a:cs typeface="Times New Roman"/>
                      </a:rPr>
                      <a:t>строительство</a:t>
                    </a:r>
                    <a:endParaRPr lang="ru-RU" sz="825" b="1" i="0" u="none" strike="noStrike" baseline="0">
                      <a:solidFill>
                        <a:srgbClr val="000000"/>
                      </a:solidFill>
                      <a:latin typeface="Times New Roman"/>
                      <a:cs typeface="Times New Roman"/>
                    </a:endParaRPr>
                  </a:p>
                  <a:p>
                    <a:pPr>
                      <a:defRPr sz="1175" b="0" i="0" u="none" strike="noStrike" baseline="0">
                        <a:solidFill>
                          <a:srgbClr val="000000"/>
                        </a:solidFill>
                        <a:latin typeface="Arial Cyr"/>
                        <a:ea typeface="Arial Cyr"/>
                        <a:cs typeface="Arial Cyr"/>
                      </a:defRPr>
                    </a:pPr>
                    <a:r>
                      <a:rPr lang="ru-RU" sz="825" b="1" i="0" u="none" strike="noStrike" baseline="0">
                        <a:solidFill>
                          <a:srgbClr val="000000"/>
                        </a:solidFill>
                        <a:latin typeface="Times New Roman"/>
                        <a:cs typeface="Times New Roman"/>
                      </a:rPr>
                      <a:t>5,4%</a:t>
                    </a:r>
                  </a:p>
                </c:rich>
              </c:tx>
              <c:spPr>
                <a:noFill/>
                <a:ln w="25400">
                  <a:noFill/>
                </a:ln>
              </c:spPr>
              <c:dLblPos val="bestFit"/>
            </c:dLbl>
            <c:dLbl>
              <c:idx val="3"/>
              <c:layout>
                <c:manualLayout>
                  <c:x val="9.7717943734626764E-2"/>
                  <c:y val="-3.0323053998653648E-2"/>
                </c:manualLayout>
              </c:layout>
              <c:tx>
                <c:rich>
                  <a:bodyPr/>
                  <a:lstStyle/>
                  <a:p>
                    <a:pPr>
                      <a:defRPr sz="1175" b="0" i="0" u="none" strike="noStrike" baseline="0">
                        <a:solidFill>
                          <a:srgbClr val="000000"/>
                        </a:solidFill>
                        <a:latin typeface="Arial Cyr"/>
                        <a:ea typeface="Arial Cyr"/>
                        <a:cs typeface="Arial Cyr"/>
                      </a:defRPr>
                    </a:pPr>
                    <a:r>
                      <a:rPr lang="ru-RU" sz="825" b="0" i="0" u="none" strike="noStrike" baseline="0">
                        <a:solidFill>
                          <a:srgbClr val="000000"/>
                        </a:solidFill>
                        <a:latin typeface="Times New Roman"/>
                        <a:cs typeface="Times New Roman"/>
                      </a:rPr>
                      <a:t>обрабатывающие производства</a:t>
                    </a:r>
                    <a:endParaRPr lang="ru-RU" sz="825" b="1" i="0" u="none" strike="noStrike" baseline="0">
                      <a:solidFill>
                        <a:srgbClr val="000000"/>
                      </a:solidFill>
                      <a:latin typeface="Times New Roman"/>
                      <a:cs typeface="Times New Roman"/>
                    </a:endParaRPr>
                  </a:p>
                  <a:p>
                    <a:pPr>
                      <a:defRPr sz="1175" b="0" i="0" u="none" strike="noStrike" baseline="0">
                        <a:solidFill>
                          <a:srgbClr val="000000"/>
                        </a:solidFill>
                        <a:latin typeface="Arial Cyr"/>
                        <a:ea typeface="Arial Cyr"/>
                        <a:cs typeface="Arial Cyr"/>
                      </a:defRPr>
                    </a:pPr>
                    <a:r>
                      <a:rPr lang="ru-RU" sz="825" b="1" i="0" u="none" strike="noStrike" baseline="0">
                        <a:solidFill>
                          <a:srgbClr val="000000"/>
                        </a:solidFill>
                        <a:latin typeface="Times New Roman"/>
                        <a:cs typeface="Times New Roman"/>
                      </a:rPr>
                      <a:t>5,5%</a:t>
                    </a:r>
                  </a:p>
                </c:rich>
              </c:tx>
              <c:spPr>
                <a:noFill/>
                <a:ln w="25400">
                  <a:noFill/>
                </a:ln>
              </c:spPr>
              <c:dLblPos val="bestFit"/>
            </c:dLbl>
            <c:dLbl>
              <c:idx val="4"/>
              <c:layout>
                <c:manualLayout>
                  <c:x val="0.14350983176283524"/>
                  <c:y val="0.10942113503823678"/>
                </c:manualLayout>
              </c:layout>
              <c:tx>
                <c:rich>
                  <a:bodyPr/>
                  <a:lstStyle/>
                  <a:p>
                    <a:pPr>
                      <a:defRPr sz="1175" b="0" i="0" u="none" strike="noStrike" baseline="0">
                        <a:solidFill>
                          <a:srgbClr val="000000"/>
                        </a:solidFill>
                        <a:latin typeface="Arial Cyr"/>
                        <a:ea typeface="Arial Cyr"/>
                        <a:cs typeface="Arial Cyr"/>
                      </a:defRPr>
                    </a:pPr>
                    <a:r>
                      <a:rPr lang="ru-RU" sz="825" b="0" i="0" u="none" strike="noStrike" baseline="0">
                        <a:solidFill>
                          <a:srgbClr val="000000"/>
                        </a:solidFill>
                        <a:latin typeface="Times New Roman"/>
                        <a:cs typeface="Times New Roman"/>
                      </a:rPr>
                      <a:t>операции с недвижимым имуществом, аренда и предоставление услуг</a:t>
                    </a:r>
                    <a:endParaRPr lang="ru-RU" sz="825" b="1" i="0" u="none" strike="noStrike" baseline="0">
                      <a:solidFill>
                        <a:srgbClr val="000000"/>
                      </a:solidFill>
                      <a:latin typeface="Times New Roman"/>
                      <a:cs typeface="Times New Roman"/>
                    </a:endParaRPr>
                  </a:p>
                  <a:p>
                    <a:pPr>
                      <a:defRPr sz="1175" b="0" i="0" u="none" strike="noStrike" baseline="0">
                        <a:solidFill>
                          <a:srgbClr val="000000"/>
                        </a:solidFill>
                        <a:latin typeface="Arial Cyr"/>
                        <a:ea typeface="Arial Cyr"/>
                        <a:cs typeface="Arial Cyr"/>
                      </a:defRPr>
                    </a:pPr>
                    <a:r>
                      <a:rPr lang="ru-RU" sz="825" b="1" i="0" u="none" strike="noStrike" baseline="0">
                        <a:solidFill>
                          <a:srgbClr val="000000"/>
                        </a:solidFill>
                        <a:latin typeface="Times New Roman"/>
                        <a:cs typeface="Times New Roman"/>
                      </a:rPr>
                      <a:t>7,2%</a:t>
                    </a:r>
                  </a:p>
                </c:rich>
              </c:tx>
              <c:spPr>
                <a:noFill/>
                <a:ln w="25400">
                  <a:noFill/>
                </a:ln>
              </c:spPr>
              <c:dLblPos val="bestFit"/>
            </c:dLbl>
            <c:dLbl>
              <c:idx val="5"/>
              <c:layout>
                <c:manualLayout>
                  <c:x val="3.817753108730261E-2"/>
                  <c:y val="7.7815244276021933E-2"/>
                </c:manualLayout>
              </c:layout>
              <c:tx>
                <c:rich>
                  <a:bodyPr/>
                  <a:lstStyle/>
                  <a:p>
                    <a:pPr>
                      <a:defRPr sz="1175" b="0" i="0" u="none" strike="noStrike" baseline="0">
                        <a:solidFill>
                          <a:srgbClr val="000000"/>
                        </a:solidFill>
                        <a:latin typeface="Arial Cyr"/>
                        <a:ea typeface="Arial Cyr"/>
                        <a:cs typeface="Arial Cyr"/>
                      </a:defRPr>
                    </a:pPr>
                    <a:r>
                      <a:rPr lang="ru-RU" sz="825" b="0" i="0" u="none" strike="noStrike" baseline="0">
                        <a:solidFill>
                          <a:srgbClr val="000000"/>
                        </a:solidFill>
                        <a:latin typeface="Times New Roman"/>
                        <a:cs typeface="Times New Roman"/>
                      </a:rPr>
                      <a:t>прочие</a:t>
                    </a:r>
                    <a:r>
                      <a:rPr lang="ru-RU" sz="825" b="1" i="0" u="none" strike="noStrike" baseline="0">
                        <a:solidFill>
                          <a:srgbClr val="000000"/>
                        </a:solidFill>
                        <a:latin typeface="Times New Roman"/>
                        <a:cs typeface="Times New Roman"/>
                      </a:rPr>
                      <a:t> </a:t>
                    </a:r>
                  </a:p>
                  <a:p>
                    <a:pPr>
                      <a:defRPr sz="1175" b="0" i="0" u="none" strike="noStrike" baseline="0">
                        <a:solidFill>
                          <a:srgbClr val="000000"/>
                        </a:solidFill>
                        <a:latin typeface="Arial Cyr"/>
                        <a:ea typeface="Arial Cyr"/>
                        <a:cs typeface="Arial Cyr"/>
                      </a:defRPr>
                    </a:pPr>
                    <a:r>
                      <a:rPr lang="ru-RU" sz="825" b="1" i="0" u="none" strike="noStrike" baseline="0">
                        <a:solidFill>
                          <a:srgbClr val="000000"/>
                        </a:solidFill>
                        <a:latin typeface="Times New Roman"/>
                        <a:cs typeface="Times New Roman"/>
                      </a:rPr>
                      <a:t>30,0%</a:t>
                    </a:r>
                  </a:p>
                </c:rich>
              </c:tx>
              <c:spPr>
                <a:noFill/>
                <a:ln w="25400">
                  <a:noFill/>
                </a:ln>
              </c:spPr>
              <c:dLblPos val="bestFit"/>
            </c:dLbl>
            <c:numFmt formatCode="0%" sourceLinked="0"/>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showCatName val="1"/>
            <c:showPercent val="1"/>
            <c:showLeaderLines val="1"/>
          </c:dLbls>
          <c:cat>
            <c:strRef>
              <c:f>Лист2!$C$53:$C$58</c:f>
              <c:strCache>
                <c:ptCount val="6"/>
                <c:pt idx="0">
                  <c:v>оптовая и розничная торговля, ремонт автотранспортных средств и др.</c:v>
                </c:pt>
                <c:pt idx="1">
                  <c:v>транспорт и связь</c:v>
                </c:pt>
                <c:pt idx="2">
                  <c:v>строительство</c:v>
                </c:pt>
                <c:pt idx="3">
                  <c:v>обрабатывающие производства</c:v>
                </c:pt>
                <c:pt idx="4">
                  <c:v>операции с недвижимым имуществом, аренда и предоставление услуг</c:v>
                </c:pt>
                <c:pt idx="5">
                  <c:v>прочие </c:v>
                </c:pt>
              </c:strCache>
            </c:strRef>
          </c:cat>
          <c:val>
            <c:numRef>
              <c:f>Лист2!$D$53:$D$58</c:f>
              <c:numCache>
                <c:formatCode>General</c:formatCode>
                <c:ptCount val="6"/>
                <c:pt idx="0">
                  <c:v>380</c:v>
                </c:pt>
                <c:pt idx="1">
                  <c:v>202</c:v>
                </c:pt>
                <c:pt idx="2">
                  <c:v>60</c:v>
                </c:pt>
                <c:pt idx="3">
                  <c:v>62</c:v>
                </c:pt>
                <c:pt idx="4">
                  <c:v>80</c:v>
                </c:pt>
                <c:pt idx="5">
                  <c:v>336</c:v>
                </c:pt>
              </c:numCache>
            </c:numRef>
          </c:val>
        </c:ser>
        <c:dLbls>
          <c:showPercent val="1"/>
        </c:dLbls>
      </c:pie3DChart>
      <c:spPr>
        <a:noFill/>
        <a:ln w="25400">
          <a:noFill/>
        </a:ln>
      </c:spPr>
    </c:plotArea>
    <c:plotVisOnly val="1"/>
    <c:dispBlanksAs val="zero"/>
  </c:chart>
  <c:spPr>
    <a:solidFill>
      <a:srgbClr val="FFFFFF"/>
    </a:solidFill>
    <a:ln w="12700">
      <a:solidFill>
        <a:srgbClr val="FFFFFF"/>
      </a:solidFill>
      <a:prstDash val="solid"/>
    </a:ln>
  </c:spPr>
  <c:txPr>
    <a:bodyPr/>
    <a:lstStyle/>
    <a:p>
      <a:pPr>
        <a:defRPr sz="1175" b="0" i="0" u="none" strike="noStrike" baseline="0">
          <a:solidFill>
            <a:srgbClr val="000000"/>
          </a:solidFill>
          <a:latin typeface="Arial Cyr"/>
          <a:ea typeface="Arial Cyr"/>
          <a:cs typeface="Arial Cyr"/>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100" b="1"/>
            </a:pPr>
            <a:r>
              <a:rPr lang="ru-RU" sz="1100" b="1"/>
              <a:t>Соотношение уровня заработной платы </a:t>
            </a:r>
          </a:p>
          <a:p>
            <a:pPr>
              <a:defRPr sz="1100" b="1"/>
            </a:pPr>
            <a:r>
              <a:rPr lang="ru-RU" sz="1100" b="1"/>
              <a:t>на территории Белоярского района за 2011-2013 гг., руб.</a:t>
            </a:r>
          </a:p>
        </c:rich>
      </c:tx>
      <c:layout>
        <c:manualLayout>
          <c:xMode val="edge"/>
          <c:yMode val="edge"/>
          <c:x val="0.18269228781635732"/>
          <c:y val="2.2601410816857199E-2"/>
        </c:manualLayout>
      </c:layout>
      <c:spPr>
        <a:noFill/>
        <a:ln w="25400">
          <a:noFill/>
        </a:ln>
      </c:spPr>
    </c:title>
    <c:plotArea>
      <c:layout>
        <c:manualLayout>
          <c:layoutTarget val="inner"/>
          <c:xMode val="edge"/>
          <c:yMode val="edge"/>
          <c:x val="2.0164925654530028E-2"/>
          <c:y val="0.14945452167223974"/>
          <c:w val="0.94071718444397234"/>
          <c:h val="0.65480349571688823"/>
        </c:manualLayout>
      </c:layout>
      <c:barChart>
        <c:barDir val="col"/>
        <c:grouping val="clustered"/>
        <c:ser>
          <c:idx val="0"/>
          <c:order val="0"/>
          <c:tx>
            <c:strRef>
              <c:f>'уровень жизни'!$L$31</c:f>
              <c:strCache>
                <c:ptCount val="1"/>
                <c:pt idx="0">
                  <c:v>врачи</c:v>
                </c:pt>
              </c:strCache>
            </c:strRef>
          </c:tx>
          <c:spPr>
            <a:pattFill prst="wdUpDiag">
              <a:fgClr>
                <a:srgbClr val="00B050"/>
              </a:fgClr>
              <a:bgClr>
                <a:schemeClr val="bg1"/>
              </a:bgClr>
            </a:pattFill>
            <a:ln w="12700">
              <a:solidFill>
                <a:srgbClr val="000000"/>
              </a:solidFill>
              <a:prstDash val="solid"/>
            </a:ln>
            <a:effectLst>
              <a:innerShdw blurRad="114300">
                <a:prstClr val="black"/>
              </a:innerShdw>
            </a:effectLst>
            <a:scene3d>
              <a:camera prst="orthographicFront"/>
              <a:lightRig rig="threePt" dir="t"/>
            </a:scene3d>
            <a:sp3d>
              <a:bevelT w="139700" h="139700" prst="divot"/>
            </a:sp3d>
          </c:spPr>
          <c:dLbls>
            <c:dLbl>
              <c:idx val="0"/>
              <c:layout>
                <c:manualLayout>
                  <c:x val="-1.2237105315299911E-2"/>
                  <c:y val="-8.0539169891900228E-3"/>
                </c:manualLayout>
              </c:layout>
              <c:dLblPos val="outEnd"/>
              <c:showVal val="1"/>
            </c:dLbl>
            <c:dLbl>
              <c:idx val="1"/>
              <c:layout>
                <c:manualLayout>
                  <c:x val="-3.9640960081644763E-3"/>
                  <c:y val="-1.1926331242493244E-2"/>
                </c:manualLayout>
              </c:layout>
              <c:dLblPos val="outEnd"/>
              <c:showVal val="1"/>
            </c:dLbl>
            <c:dLbl>
              <c:idx val="2"/>
              <c:layout>
                <c:manualLayout>
                  <c:x val="-8.6182608766461862E-4"/>
                  <c:y val="-2.4050891943591837E-3"/>
                </c:manualLayout>
              </c:layout>
              <c:dLblPos val="outEnd"/>
              <c:showVal val="1"/>
            </c:dLbl>
            <c:spPr>
              <a:noFill/>
              <a:ln w="25400">
                <a:noFill/>
              </a:ln>
            </c:spPr>
            <c:txPr>
              <a:bodyPr/>
              <a:lstStyle/>
              <a:p>
                <a:pPr>
                  <a:defRPr sz="1000" b="1"/>
                </a:pPr>
                <a:endParaRPr lang="ru-RU"/>
              </a:p>
            </c:txPr>
            <c:showVal val="1"/>
          </c:dLbls>
          <c:cat>
            <c:strRef>
              <c:f>'уровень жизни'!$M$30:$O$30</c:f>
              <c:strCache>
                <c:ptCount val="3"/>
                <c:pt idx="0">
                  <c:v>2011 год</c:v>
                </c:pt>
                <c:pt idx="1">
                  <c:v>2012 год</c:v>
                </c:pt>
                <c:pt idx="2">
                  <c:v>2013 год</c:v>
                </c:pt>
              </c:strCache>
            </c:strRef>
          </c:cat>
          <c:val>
            <c:numRef>
              <c:f>'уровень жизни'!$M$31:$O$31</c:f>
              <c:numCache>
                <c:formatCode>#,##0_р_.</c:formatCode>
                <c:ptCount val="3"/>
                <c:pt idx="0">
                  <c:v>60472</c:v>
                </c:pt>
                <c:pt idx="1">
                  <c:v>70873</c:v>
                </c:pt>
                <c:pt idx="2">
                  <c:v>80822</c:v>
                </c:pt>
              </c:numCache>
            </c:numRef>
          </c:val>
        </c:ser>
        <c:ser>
          <c:idx val="1"/>
          <c:order val="1"/>
          <c:tx>
            <c:strRef>
              <c:f>'уровень жизни'!$L$32</c:f>
              <c:strCache>
                <c:ptCount val="1"/>
                <c:pt idx="0">
                  <c:v>работники кр.и ср.предприятий</c:v>
                </c:pt>
              </c:strCache>
            </c:strRef>
          </c:tx>
          <c:spPr>
            <a:pattFill prst="narVert">
              <a:fgClr>
                <a:srgbClr val="00B0F0"/>
              </a:fgClr>
              <a:bgClr>
                <a:schemeClr val="bg1"/>
              </a:bgClr>
            </a:pattFill>
            <a:ln w="12700">
              <a:solidFill>
                <a:srgbClr val="000000"/>
              </a:solidFill>
              <a:prstDash val="solid"/>
            </a:ln>
            <a:scene3d>
              <a:camera prst="orthographicFront"/>
              <a:lightRig rig="threePt" dir="t"/>
            </a:scene3d>
            <a:sp3d>
              <a:bevelT prst="angle"/>
            </a:sp3d>
          </c:spPr>
          <c:dLbls>
            <c:dLbl>
              <c:idx val="0"/>
              <c:layout>
                <c:manualLayout>
                  <c:x val="1.9820805749850522E-2"/>
                  <c:y val="-1.2134169669469464E-2"/>
                </c:manualLayout>
              </c:layout>
              <c:dLblPos val="outEnd"/>
              <c:showVal val="1"/>
            </c:dLbl>
            <c:dLbl>
              <c:idx val="1"/>
              <c:layout>
                <c:manualLayout>
                  <c:x val="4.9982221715564124E-3"/>
                  <c:y val="-7.2423150496018834E-4"/>
                </c:manualLayout>
              </c:layout>
              <c:dLblPos val="outEnd"/>
              <c:showVal val="1"/>
            </c:dLbl>
            <c:dLbl>
              <c:idx val="2"/>
              <c:layout>
                <c:manualLayout>
                  <c:x val="1.7068693999456964E-2"/>
                  <c:y val="-1.7176755620479565E-2"/>
                </c:manualLayout>
              </c:layout>
              <c:dLblPos val="outEnd"/>
              <c:showVal val="1"/>
            </c:dLbl>
            <c:spPr>
              <a:noFill/>
              <a:ln w="25400">
                <a:noFill/>
              </a:ln>
            </c:spPr>
            <c:txPr>
              <a:bodyPr/>
              <a:lstStyle/>
              <a:p>
                <a:pPr>
                  <a:defRPr sz="1000" b="1"/>
                </a:pPr>
                <a:endParaRPr lang="ru-RU"/>
              </a:p>
            </c:txPr>
            <c:showVal val="1"/>
          </c:dLbls>
          <c:cat>
            <c:strRef>
              <c:f>'уровень жизни'!$M$30:$O$30</c:f>
              <c:strCache>
                <c:ptCount val="3"/>
                <c:pt idx="0">
                  <c:v>2011 год</c:v>
                </c:pt>
                <c:pt idx="1">
                  <c:v>2012 год</c:v>
                </c:pt>
                <c:pt idx="2">
                  <c:v>2013 год</c:v>
                </c:pt>
              </c:strCache>
            </c:strRef>
          </c:cat>
          <c:val>
            <c:numRef>
              <c:f>'уровень жизни'!$M$32:$O$32</c:f>
              <c:numCache>
                <c:formatCode>#,##0_р_.</c:formatCode>
                <c:ptCount val="3"/>
                <c:pt idx="0">
                  <c:v>47496</c:v>
                </c:pt>
                <c:pt idx="1">
                  <c:v>53349.5</c:v>
                </c:pt>
                <c:pt idx="2">
                  <c:v>61663.9</c:v>
                </c:pt>
              </c:numCache>
            </c:numRef>
          </c:val>
        </c:ser>
        <c:ser>
          <c:idx val="2"/>
          <c:order val="2"/>
          <c:tx>
            <c:strRef>
              <c:f>'уровень жизни'!$L$33</c:f>
              <c:strCache>
                <c:ptCount val="1"/>
                <c:pt idx="0">
                  <c:v>учителя</c:v>
                </c:pt>
              </c:strCache>
            </c:strRef>
          </c:tx>
          <c:spPr>
            <a:pattFill prst="lgConfetti">
              <a:fgClr>
                <a:schemeClr val="accent2">
                  <a:lumMod val="75000"/>
                </a:schemeClr>
              </a:fgClr>
              <a:bgClr>
                <a:schemeClr val="bg1"/>
              </a:bgClr>
            </a:pattFill>
            <a:ln w="12700">
              <a:solidFill>
                <a:srgbClr val="000000"/>
              </a:solidFill>
              <a:prstDash val="solid"/>
            </a:ln>
            <a:scene3d>
              <a:camera prst="orthographicFront"/>
              <a:lightRig rig="threePt" dir="t"/>
            </a:scene3d>
            <a:sp3d>
              <a:bevelT w="152400" h="50800" prst="softRound"/>
            </a:sp3d>
          </c:spPr>
          <c:dLbls>
            <c:dLbl>
              <c:idx val="0"/>
              <c:layout>
                <c:manualLayout>
                  <c:x val="1.6718427259674221E-2"/>
                  <c:y val="-8.2090840339875074E-3"/>
                </c:manualLayout>
              </c:layout>
              <c:dLblPos val="outEnd"/>
              <c:showVal val="1"/>
            </c:dLbl>
            <c:dLbl>
              <c:idx val="1"/>
              <c:layout>
                <c:manualLayout>
                  <c:x val="6.7217657772096736E-3"/>
                  <c:y val="-5.3484585613239027E-3"/>
                </c:manualLayout>
              </c:layout>
              <c:dLblPos val="outEnd"/>
              <c:showVal val="1"/>
            </c:dLbl>
            <c:dLbl>
              <c:idx val="2"/>
              <c:layout>
                <c:manualLayout>
                  <c:x val="2.2923075670350318E-2"/>
                  <c:y val="-1.1256728502157761E-3"/>
                </c:manualLayout>
              </c:layout>
              <c:dLblPos val="outEnd"/>
              <c:showVal val="1"/>
            </c:dLbl>
            <c:spPr>
              <a:noFill/>
              <a:ln w="25400">
                <a:noFill/>
              </a:ln>
            </c:spPr>
            <c:txPr>
              <a:bodyPr/>
              <a:lstStyle/>
              <a:p>
                <a:pPr>
                  <a:defRPr sz="1000" b="1"/>
                </a:pPr>
                <a:endParaRPr lang="ru-RU"/>
              </a:p>
            </c:txPr>
            <c:showVal val="1"/>
          </c:dLbls>
          <c:cat>
            <c:strRef>
              <c:f>'уровень жизни'!$M$30:$O$30</c:f>
              <c:strCache>
                <c:ptCount val="3"/>
                <c:pt idx="0">
                  <c:v>2011 год</c:v>
                </c:pt>
                <c:pt idx="1">
                  <c:v>2012 год</c:v>
                </c:pt>
                <c:pt idx="2">
                  <c:v>2013 год</c:v>
                </c:pt>
              </c:strCache>
            </c:strRef>
          </c:cat>
          <c:val>
            <c:numRef>
              <c:f>'уровень жизни'!$M$33:$O$33</c:f>
              <c:numCache>
                <c:formatCode>#,##0_р_.</c:formatCode>
                <c:ptCount val="3"/>
                <c:pt idx="0">
                  <c:v>40042</c:v>
                </c:pt>
                <c:pt idx="1">
                  <c:v>55619</c:v>
                </c:pt>
                <c:pt idx="2">
                  <c:v>57427</c:v>
                </c:pt>
              </c:numCache>
            </c:numRef>
          </c:val>
        </c:ser>
        <c:dLbls/>
        <c:axId val="143527296"/>
        <c:axId val="143557760"/>
      </c:barChart>
      <c:catAx>
        <c:axId val="143527296"/>
        <c:scaling>
          <c:orientation val="minMax"/>
        </c:scaling>
        <c:axPos val="b"/>
        <c:numFmt formatCode="General" sourceLinked="1"/>
        <c:tickLblPos val="nextTo"/>
        <c:spPr>
          <a:ln w="3175">
            <a:solidFill>
              <a:srgbClr val="000000"/>
            </a:solidFill>
            <a:prstDash val="solid"/>
          </a:ln>
        </c:spPr>
        <c:txPr>
          <a:bodyPr rot="0" vert="horz"/>
          <a:lstStyle/>
          <a:p>
            <a:pPr>
              <a:defRPr/>
            </a:pPr>
            <a:endParaRPr lang="ru-RU"/>
          </a:p>
        </c:txPr>
        <c:crossAx val="143557760"/>
        <c:crosses val="autoZero"/>
        <c:auto val="1"/>
        <c:lblAlgn val="ctr"/>
        <c:lblOffset val="100"/>
        <c:tickLblSkip val="1"/>
        <c:tickMarkSkip val="1"/>
      </c:catAx>
      <c:valAx>
        <c:axId val="143557760"/>
        <c:scaling>
          <c:orientation val="minMax"/>
        </c:scaling>
        <c:delete val="1"/>
        <c:axPos val="l"/>
        <c:numFmt formatCode="#,##0_р_." sourceLinked="1"/>
        <c:tickLblPos val="none"/>
        <c:crossAx val="143527296"/>
        <c:crosses val="autoZero"/>
        <c:crossBetween val="between"/>
      </c:valAx>
      <c:spPr>
        <a:noFill/>
        <a:ln w="25400">
          <a:noFill/>
        </a:ln>
      </c:spPr>
    </c:plotArea>
    <c:legend>
      <c:legendPos val="b"/>
      <c:layout>
        <c:manualLayout>
          <c:xMode val="edge"/>
          <c:yMode val="edge"/>
          <c:x val="4.4448139655538434E-2"/>
          <c:y val="0.92124502006852826"/>
          <c:w val="0.90139054496814497"/>
          <c:h val="7.7229522880098433E-2"/>
        </c:manualLayout>
      </c:layout>
      <c:spPr>
        <a:noFill/>
        <a:ln w="25400">
          <a:noFill/>
        </a:ln>
      </c:spPr>
      <c:txPr>
        <a:bodyPr/>
        <a:lstStyle/>
        <a:p>
          <a:pPr>
            <a:defRPr sz="1000"/>
          </a:pPr>
          <a:endParaRPr lang="ru-RU"/>
        </a:p>
      </c:txPr>
    </c:legend>
    <c:plotVisOnly val="1"/>
    <c:dispBlanksAs val="gap"/>
  </c:chart>
  <c:spPr>
    <a:noFill/>
    <a:ln w="9525">
      <a:noFill/>
    </a:ln>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100" b="1"/>
            </a:pPr>
            <a:r>
              <a:rPr lang="ru-RU" sz="1100" b="1"/>
              <a:t>Соотношение среднемесячной заработной платы и среднего размера дохода пенсионера на 2011-2013</a:t>
            </a:r>
            <a:r>
              <a:rPr lang="ru-RU" sz="1100" b="1" baseline="0"/>
              <a:t> </a:t>
            </a:r>
            <a:r>
              <a:rPr lang="ru-RU" sz="1100" b="1"/>
              <a:t>г.г.</a:t>
            </a:r>
          </a:p>
        </c:rich>
      </c:tx>
      <c:layout>
        <c:manualLayout>
          <c:xMode val="edge"/>
          <c:yMode val="edge"/>
          <c:x val="0.13733082096909038"/>
          <c:y val="2.631500330751347E-3"/>
        </c:manualLayout>
      </c:layout>
    </c:title>
    <c:view3D>
      <c:hPercent val="56"/>
      <c:depthPercent val="100"/>
      <c:rAngAx val="1"/>
    </c:view3D>
    <c:floor>
      <c:spPr>
        <a:solidFill>
          <a:srgbClr val="FFFFFF"/>
        </a:solidFill>
        <a:ln w="3175">
          <a:solidFill>
            <a:srgbClr val="000000"/>
          </a:solidFill>
          <a:prstDash val="solid"/>
        </a:ln>
      </c:spPr>
    </c:floor>
    <c:sideWall>
      <c:spPr>
        <a:solidFill>
          <a:schemeClr val="accent5">
            <a:lumMod val="40000"/>
            <a:lumOff val="60000"/>
            <a:alpha val="0"/>
          </a:schemeClr>
        </a:solidFill>
        <a:ln w="25400">
          <a:noFill/>
        </a:ln>
        <a:effectLst>
          <a:outerShdw blurRad="50800" dist="50800" dir="5400000" algn="ctr" rotWithShape="0">
            <a:schemeClr val="accent1">
              <a:lumMod val="20000"/>
              <a:lumOff val="80000"/>
              <a:alpha val="99000"/>
            </a:schemeClr>
          </a:outerShdw>
        </a:effectLst>
      </c:spPr>
    </c:sideWall>
    <c:backWall>
      <c:spPr>
        <a:solidFill>
          <a:schemeClr val="accent5">
            <a:lumMod val="40000"/>
            <a:lumOff val="60000"/>
            <a:alpha val="65000"/>
          </a:schemeClr>
        </a:solidFill>
        <a:ln w="25400">
          <a:noFill/>
        </a:ln>
        <a:effectLst>
          <a:outerShdw blurRad="50800" dist="50800" dir="5400000" algn="ctr" rotWithShape="0">
            <a:schemeClr val="accent1">
              <a:lumMod val="20000"/>
              <a:lumOff val="80000"/>
              <a:alpha val="99000"/>
            </a:schemeClr>
          </a:outerShdw>
        </a:effectLst>
      </c:spPr>
    </c:backWall>
    <c:plotArea>
      <c:layout>
        <c:manualLayout>
          <c:layoutTarget val="inner"/>
          <c:xMode val="edge"/>
          <c:yMode val="edge"/>
          <c:x val="1.1679998003419144E-2"/>
          <c:y val="0.16155801663003508"/>
          <c:w val="0.97452678953958061"/>
          <c:h val="0.62221454025563849"/>
        </c:manualLayout>
      </c:layout>
      <c:bar3DChart>
        <c:barDir val="col"/>
        <c:grouping val="clustered"/>
        <c:ser>
          <c:idx val="0"/>
          <c:order val="0"/>
          <c:tx>
            <c:strRef>
              <c:f>'уровень жизни'!$L$23</c:f>
              <c:strCache>
                <c:ptCount val="1"/>
                <c:pt idx="0">
                  <c:v>Среднемесячная заработная плата, руб.</c:v>
                </c:pt>
              </c:strCache>
            </c:strRef>
          </c:tx>
          <c:spPr>
            <a:solidFill>
              <a:srgbClr val="CC99FF"/>
            </a:solidFill>
            <a:ln w="12700">
              <a:solidFill>
                <a:srgbClr val="000000"/>
              </a:solidFill>
              <a:prstDash val="solid"/>
            </a:ln>
            <a:scene3d>
              <a:camera prst="orthographicFront"/>
              <a:lightRig rig="threePt" dir="t"/>
            </a:scene3d>
            <a:sp3d>
              <a:bevelT/>
              <a:contourClr>
                <a:srgbClr val="000000"/>
              </a:contourClr>
            </a:sp3d>
          </c:spPr>
          <c:dLbls>
            <c:dLbl>
              <c:idx val="0"/>
              <c:layout>
                <c:manualLayout>
                  <c:x val="-9.6518441916580728E-3"/>
                  <c:y val="-2.9378531073446287E-2"/>
                </c:manualLayout>
              </c:layout>
              <c:showVal val="1"/>
            </c:dLbl>
            <c:dLbl>
              <c:idx val="1"/>
              <c:layout>
                <c:manualLayout>
                  <c:x val="0"/>
                  <c:y val="-3.8425731285851715E-2"/>
                </c:manualLayout>
              </c:layout>
              <c:showVal val="1"/>
            </c:dLbl>
            <c:dLbl>
              <c:idx val="2"/>
              <c:layout>
                <c:manualLayout>
                  <c:x val="1.5167200651642683E-2"/>
                  <c:y val="-4.7483165283072649E-2"/>
                </c:manualLayout>
              </c:layout>
              <c:showVal val="1"/>
            </c:dLbl>
            <c:txPr>
              <a:bodyPr/>
              <a:lstStyle/>
              <a:p>
                <a:pPr>
                  <a:defRPr sz="1000" b="1"/>
                </a:pPr>
                <a:endParaRPr lang="ru-RU"/>
              </a:p>
            </c:txPr>
            <c:showVal val="1"/>
          </c:dLbls>
          <c:cat>
            <c:strRef>
              <c:f>'уровень жизни'!$M$22:$O$22</c:f>
              <c:strCache>
                <c:ptCount val="3"/>
                <c:pt idx="0">
                  <c:v>2011 г.</c:v>
                </c:pt>
                <c:pt idx="1">
                  <c:v>2012 г.</c:v>
                </c:pt>
                <c:pt idx="2">
                  <c:v>2013 г.</c:v>
                </c:pt>
              </c:strCache>
            </c:strRef>
          </c:cat>
          <c:val>
            <c:numRef>
              <c:f>'уровень жизни'!$M$23:$O$23</c:f>
              <c:numCache>
                <c:formatCode>#,##0.0_р_.</c:formatCode>
                <c:ptCount val="3"/>
                <c:pt idx="0">
                  <c:v>47495.5</c:v>
                </c:pt>
                <c:pt idx="1">
                  <c:v>53349.5</c:v>
                </c:pt>
                <c:pt idx="2">
                  <c:v>61663.9</c:v>
                </c:pt>
              </c:numCache>
            </c:numRef>
          </c:val>
        </c:ser>
        <c:ser>
          <c:idx val="1"/>
          <c:order val="1"/>
          <c:tx>
            <c:strRef>
              <c:f>'уровень жизни'!$L$24</c:f>
              <c:strCache>
                <c:ptCount val="1"/>
                <c:pt idx="0">
                  <c:v>Средний  размер дохода пенсионера, руб. </c:v>
                </c:pt>
              </c:strCache>
            </c:strRef>
          </c:tx>
          <c:spPr>
            <a:solidFill>
              <a:srgbClr val="3366FF"/>
            </a:solidFill>
            <a:ln w="12700">
              <a:solidFill>
                <a:srgbClr val="000000"/>
              </a:solidFill>
              <a:prstDash val="solid"/>
            </a:ln>
            <a:scene3d>
              <a:camera prst="orthographicFront"/>
              <a:lightRig rig="threePt" dir="t"/>
            </a:scene3d>
            <a:sp3d>
              <a:bevelT prst="relaxedInset"/>
              <a:contourClr>
                <a:srgbClr val="000000"/>
              </a:contourClr>
            </a:sp3d>
          </c:spPr>
          <c:dLbls>
            <c:dLbl>
              <c:idx val="0"/>
              <c:layout>
                <c:manualLayout>
                  <c:x val="3.4470920445289252E-2"/>
                  <c:y val="-5.8787722236077963E-2"/>
                </c:manualLayout>
              </c:layout>
              <c:showVal val="1"/>
            </c:dLbl>
            <c:dLbl>
              <c:idx val="1"/>
              <c:layout>
                <c:manualLayout>
                  <c:x val="3.722856367092045E-2"/>
                  <c:y val="-7.0097623543663654E-2"/>
                </c:manualLayout>
              </c:layout>
              <c:showVal val="1"/>
            </c:dLbl>
            <c:dLbl>
              <c:idx val="2"/>
              <c:layout>
                <c:manualLayout>
                  <c:x val="6.7564268259571014E-2"/>
                  <c:y val="-5.8785228203940582E-2"/>
                </c:manualLayout>
              </c:layout>
              <c:showVal val="1"/>
            </c:dLbl>
            <c:txPr>
              <a:bodyPr/>
              <a:lstStyle/>
              <a:p>
                <a:pPr>
                  <a:defRPr sz="1000" b="1"/>
                </a:pPr>
                <a:endParaRPr lang="ru-RU"/>
              </a:p>
            </c:txPr>
            <c:showVal val="1"/>
          </c:dLbls>
          <c:cat>
            <c:strRef>
              <c:f>'уровень жизни'!$M$22:$O$22</c:f>
              <c:strCache>
                <c:ptCount val="3"/>
                <c:pt idx="0">
                  <c:v>2011 г.</c:v>
                </c:pt>
                <c:pt idx="1">
                  <c:v>2012 г.</c:v>
                </c:pt>
                <c:pt idx="2">
                  <c:v>2013 г.</c:v>
                </c:pt>
              </c:strCache>
            </c:strRef>
          </c:cat>
          <c:val>
            <c:numRef>
              <c:f>'уровень жизни'!$M$24:$O$24</c:f>
              <c:numCache>
                <c:formatCode>#,##0.0_р_.</c:formatCode>
                <c:ptCount val="3"/>
                <c:pt idx="0">
                  <c:v>12341</c:v>
                </c:pt>
                <c:pt idx="1">
                  <c:v>13708.4</c:v>
                </c:pt>
                <c:pt idx="2">
                  <c:v>16022</c:v>
                </c:pt>
              </c:numCache>
            </c:numRef>
          </c:val>
        </c:ser>
        <c:dLbls/>
        <c:gapWidth val="51"/>
        <c:gapDepth val="164"/>
        <c:shape val="box"/>
        <c:axId val="145037952"/>
        <c:axId val="145039744"/>
        <c:axId val="0"/>
      </c:bar3DChart>
      <c:catAx>
        <c:axId val="145037952"/>
        <c:scaling>
          <c:orientation val="minMax"/>
        </c:scaling>
        <c:axPos val="b"/>
        <c:numFmt formatCode="General" sourceLinked="1"/>
        <c:majorTickMark val="none"/>
        <c:tickLblPos val="low"/>
        <c:spPr>
          <a:ln w="3175">
            <a:solidFill>
              <a:srgbClr val="000000"/>
            </a:solidFill>
            <a:prstDash val="solid"/>
          </a:ln>
        </c:spPr>
        <c:txPr>
          <a:bodyPr rot="0" vert="horz"/>
          <a:lstStyle/>
          <a:p>
            <a:pPr>
              <a:defRPr/>
            </a:pPr>
            <a:endParaRPr lang="ru-RU"/>
          </a:p>
        </c:txPr>
        <c:crossAx val="145039744"/>
        <c:crosses val="autoZero"/>
        <c:auto val="1"/>
        <c:lblAlgn val="ctr"/>
        <c:lblOffset val="100"/>
        <c:tickLblSkip val="1"/>
        <c:tickMarkSkip val="1"/>
      </c:catAx>
      <c:valAx>
        <c:axId val="145039744"/>
        <c:scaling>
          <c:orientation val="minMax"/>
        </c:scaling>
        <c:delete val="1"/>
        <c:axPos val="l"/>
        <c:numFmt formatCode="#,##0.0_р_." sourceLinked="1"/>
        <c:tickLblPos val="none"/>
        <c:crossAx val="145037952"/>
        <c:crosses val="autoZero"/>
        <c:crossBetween val="between"/>
      </c:valAx>
      <c:spPr>
        <a:noFill/>
        <a:ln w="25400">
          <a:noFill/>
        </a:ln>
      </c:spPr>
    </c:plotArea>
    <c:legend>
      <c:legendPos val="b"/>
      <c:layout>
        <c:manualLayout>
          <c:xMode val="edge"/>
          <c:yMode val="edge"/>
          <c:x val="0"/>
          <c:y val="0.88624145559041023"/>
          <c:w val="1"/>
          <c:h val="0.10470861873973071"/>
        </c:manualLayout>
      </c:layout>
      <c:txPr>
        <a:bodyPr/>
        <a:lstStyle/>
        <a:p>
          <a:pPr>
            <a:defRPr sz="1100"/>
          </a:pPr>
          <a:endParaRPr lang="ru-RU"/>
        </a:p>
      </c:txPr>
    </c:legend>
    <c:plotVisOnly val="1"/>
    <c:dispBlanksAs val="gap"/>
  </c:chart>
  <c:spPr>
    <a:noFill/>
    <a:ln w="9525">
      <a:noFill/>
    </a:ln>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100" b="1" i="0" u="none" strike="noStrike" baseline="0">
                <a:solidFill>
                  <a:srgbClr val="000000"/>
                </a:solidFill>
                <a:latin typeface="Times New Roman"/>
                <a:ea typeface="Times New Roman"/>
                <a:cs typeface="Times New Roman"/>
              </a:defRPr>
            </a:pPr>
            <a:r>
              <a:rPr lang="ru-RU" sz="1100"/>
              <a:t>Структура занятости населения по основным видам экономической деятельности в 2013 году</a:t>
            </a:r>
          </a:p>
        </c:rich>
      </c:tx>
      <c:layout>
        <c:manualLayout>
          <c:xMode val="edge"/>
          <c:yMode val="edge"/>
          <c:x val="0.16879625432459924"/>
          <c:y val="0"/>
        </c:manualLayout>
      </c:layout>
    </c:title>
    <c:view3D>
      <c:rotX val="30"/>
      <c:perspective val="30"/>
    </c:view3D>
    <c:plotArea>
      <c:layout>
        <c:manualLayout>
          <c:layoutTarget val="inner"/>
          <c:xMode val="edge"/>
          <c:yMode val="edge"/>
          <c:x val="0.20777899129518521"/>
          <c:y val="0.32851151501847276"/>
          <c:w val="0.56070483989501363"/>
          <c:h val="0.51941963254593171"/>
        </c:manualLayout>
      </c:layout>
      <c:pie3DChart>
        <c:varyColors val="1"/>
        <c:ser>
          <c:idx val="0"/>
          <c:order val="0"/>
          <c:explosion val="25"/>
          <c:dPt>
            <c:idx val="4"/>
            <c:spPr>
              <a:solidFill>
                <a:srgbClr val="00B050"/>
              </a:solidFill>
            </c:spPr>
          </c:dPt>
          <c:dPt>
            <c:idx val="5"/>
            <c:explosion val="20"/>
          </c:dPt>
          <c:dLbls>
            <c:dLbl>
              <c:idx val="0"/>
              <c:layout>
                <c:manualLayout>
                  <c:x val="-9.6996256615464044E-2"/>
                  <c:y val="-8.1206855412665896E-3"/>
                </c:manualLayout>
              </c:layout>
              <c:dLblPos val="bestFit"/>
              <c:showCatName val="1"/>
              <c:showPercent val="1"/>
            </c:dLbl>
            <c:dLbl>
              <c:idx val="1"/>
              <c:layout>
                <c:manualLayout>
                  <c:x val="1.8388515984682465E-2"/>
                  <c:y val="-4.983926459741983E-2"/>
                </c:manualLayout>
              </c:layout>
              <c:dLblPos val="bestFit"/>
              <c:showCatName val="1"/>
              <c:showPercent val="1"/>
            </c:dLbl>
            <c:dLbl>
              <c:idx val="2"/>
              <c:layout>
                <c:manualLayout>
                  <c:x val="9.6122368314961973E-2"/>
                  <c:y val="1.473900158032211E-2"/>
                </c:manualLayout>
              </c:layout>
              <c:dLblPos val="bestFit"/>
              <c:showCatName val="1"/>
              <c:showPercent val="1"/>
            </c:dLbl>
            <c:dLbl>
              <c:idx val="3"/>
              <c:layout>
                <c:manualLayout>
                  <c:x val="4.6517684264876923E-2"/>
                  <c:y val="5.2718880359391873E-2"/>
                </c:manualLayout>
              </c:layout>
              <c:dLblPos val="bestFit"/>
              <c:showCatName val="1"/>
              <c:showPercent val="1"/>
            </c:dLbl>
            <c:dLbl>
              <c:idx val="4"/>
              <c:layout>
                <c:manualLayout>
                  <c:x val="4.8395822615805224E-2"/>
                  <c:y val="5.1390486701625134E-3"/>
                </c:manualLayout>
              </c:layout>
              <c:dLblPos val="bestFit"/>
              <c:showCatName val="1"/>
              <c:showPercent val="1"/>
            </c:dLbl>
            <c:dLbl>
              <c:idx val="5"/>
              <c:layout>
                <c:manualLayout>
                  <c:x val="0.13772957262470537"/>
                  <c:y val="8.4160091457818095E-2"/>
                </c:manualLayout>
              </c:layout>
              <c:dLblPos val="bestFit"/>
              <c:showCatName val="1"/>
              <c:showPercent val="1"/>
            </c:dLbl>
            <c:dLbl>
              <c:idx val="7"/>
              <c:layout>
                <c:manualLayout>
                  <c:x val="1.6633764927874953E-3"/>
                  <c:y val="-4.2219979495314156E-2"/>
                </c:manualLayout>
              </c:layout>
              <c:dLblPos val="bestFit"/>
              <c:showCatName val="1"/>
              <c:showPercent val="1"/>
            </c:dLbl>
            <c:dLbl>
              <c:idx val="8"/>
              <c:layout>
                <c:manualLayout>
                  <c:x val="3.9910964811629623E-4"/>
                  <c:y val="-6.2670963820925102E-2"/>
                </c:manualLayout>
              </c:layout>
              <c:showCatName val="1"/>
              <c:showPercent val="1"/>
            </c:dLbl>
            <c:dLbl>
              <c:idx val="9"/>
              <c:layout>
                <c:manualLayout>
                  <c:x val="-1.1257798717783245E-2"/>
                  <c:y val="-8.8702391824847567E-3"/>
                </c:manualLayout>
              </c:layout>
              <c:dLblPos val="bestFit"/>
              <c:showCatName val="1"/>
              <c:showPercent val="1"/>
            </c:dLbl>
            <c:txPr>
              <a:bodyPr/>
              <a:lstStyle/>
              <a:p>
                <a:pPr>
                  <a:defRPr sz="900" b="0" i="0" u="none" strike="noStrike" baseline="0">
                    <a:solidFill>
                      <a:srgbClr val="000000"/>
                    </a:solidFill>
                    <a:latin typeface="Times New Roman"/>
                    <a:ea typeface="Times New Roman"/>
                    <a:cs typeface="Times New Roman"/>
                  </a:defRPr>
                </a:pPr>
                <a:endParaRPr lang="ru-RU"/>
              </a:p>
            </c:txPr>
            <c:showCatName val="1"/>
            <c:showPercent val="1"/>
            <c:showLeaderLines val="1"/>
          </c:dLbls>
          <c:cat>
            <c:strRef>
              <c:f>Лист1!$A$21:$A$30</c:f>
              <c:strCache>
                <c:ptCount val="10"/>
                <c:pt idx="0">
                  <c:v>добыча полезных ископаемых</c:v>
                </c:pt>
                <c:pt idx="1">
                  <c:v>обрабатывающие производства</c:v>
                </c:pt>
                <c:pt idx="2">
                  <c:v>производство и распределение электроэнергии, газа и воды</c:v>
                </c:pt>
                <c:pt idx="3">
                  <c:v>строительство</c:v>
                </c:pt>
                <c:pt idx="4">
                  <c:v>транспорт и связь</c:v>
                </c:pt>
                <c:pt idx="5">
                  <c:v>операции с недвижимым имуществом</c:v>
                </c:pt>
                <c:pt idx="6">
                  <c:v>государственное управление</c:v>
                </c:pt>
                <c:pt idx="7">
                  <c:v>образование</c:v>
                </c:pt>
                <c:pt idx="8">
                  <c:v>здравоохранение и предоставление соц.услуг</c:v>
                </c:pt>
                <c:pt idx="9">
                  <c:v>прочие</c:v>
                </c:pt>
              </c:strCache>
            </c:strRef>
          </c:cat>
          <c:val>
            <c:numRef>
              <c:f>Лист1!$B$21:$B$30</c:f>
              <c:numCache>
                <c:formatCode>General</c:formatCode>
                <c:ptCount val="10"/>
                <c:pt idx="0">
                  <c:v>482</c:v>
                </c:pt>
                <c:pt idx="1">
                  <c:v>471</c:v>
                </c:pt>
                <c:pt idx="2">
                  <c:v>589</c:v>
                </c:pt>
                <c:pt idx="3">
                  <c:v>1657</c:v>
                </c:pt>
                <c:pt idx="4">
                  <c:v>4475</c:v>
                </c:pt>
                <c:pt idx="5">
                  <c:v>702</c:v>
                </c:pt>
                <c:pt idx="6">
                  <c:v>875</c:v>
                </c:pt>
                <c:pt idx="7">
                  <c:v>1433</c:v>
                </c:pt>
                <c:pt idx="8">
                  <c:v>1089</c:v>
                </c:pt>
                <c:pt idx="9">
                  <c:v>1320</c:v>
                </c:pt>
              </c:numCache>
            </c:numRef>
          </c:val>
        </c:ser>
        <c:dLbls/>
      </c:pie3DChart>
      <c:spPr>
        <a:noFill/>
        <a:ln w="25400">
          <a:noFill/>
        </a:ln>
      </c:spPr>
    </c:plotArea>
    <c:plotVisOnly val="1"/>
    <c:dispBlanksAs val="zero"/>
  </c:chart>
  <c:spPr>
    <a:ln>
      <a:noFill/>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userShapes r:id="rId2"/>
</c:chartSpace>
</file>

<file path=word/charts/chart17.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00" b="1" i="0" u="none" strike="noStrike" baseline="0">
                <a:solidFill>
                  <a:srgbClr val="000000"/>
                </a:solidFill>
                <a:latin typeface="Times New Roman"/>
                <a:ea typeface="Times New Roman"/>
                <a:cs typeface="Times New Roman"/>
              </a:defRPr>
            </a:pPr>
            <a:r>
              <a:rPr lang="ru-RU"/>
              <a:t>Динамика среднесписочной численности работников организаций по полному кругу, тыс. чел.</a:t>
            </a:r>
          </a:p>
        </c:rich>
      </c:tx>
      <c:layout/>
    </c:title>
    <c:view3D>
      <c:depthPercent val="100"/>
      <c:rAngAx val="1"/>
    </c:view3D>
    <c:plotArea>
      <c:layout/>
      <c:bar3DChart>
        <c:barDir val="col"/>
        <c:grouping val="stacked"/>
        <c:ser>
          <c:idx val="0"/>
          <c:order val="0"/>
          <c:tx>
            <c:strRef>
              <c:f>Лист1!$A$37</c:f>
              <c:strCache>
                <c:ptCount val="1"/>
                <c:pt idx="0">
                  <c:v>Среднесписочная численность работников крупных и средних организаций</c:v>
                </c:pt>
              </c:strCache>
            </c:strRef>
          </c:tx>
          <c:spPr>
            <a:solidFill>
              <a:schemeClr val="tx2">
                <a:lumMod val="40000"/>
                <a:lumOff val="60000"/>
              </a:schemeClr>
            </a:solidFill>
          </c:spPr>
          <c:dLbls>
            <c:txPr>
              <a:bodyPr/>
              <a:lstStyle/>
              <a:p>
                <a:pPr>
                  <a:defRPr sz="1000" b="0" i="0" u="none" strike="noStrike" baseline="0">
                    <a:solidFill>
                      <a:srgbClr val="000000"/>
                    </a:solidFill>
                    <a:latin typeface="Times New Roman"/>
                    <a:ea typeface="Times New Roman"/>
                    <a:cs typeface="Times New Roman"/>
                  </a:defRPr>
                </a:pPr>
                <a:endParaRPr lang="ru-RU"/>
              </a:p>
            </c:txPr>
            <c:showVal val="1"/>
          </c:dLbls>
          <c:cat>
            <c:strRef>
              <c:f>Лист1!$B$36:$F$36</c:f>
              <c:strCache>
                <c:ptCount val="5"/>
                <c:pt idx="0">
                  <c:v>   2013 год</c:v>
                </c:pt>
                <c:pt idx="1">
                  <c:v>2014 год оценка</c:v>
                </c:pt>
                <c:pt idx="2">
                  <c:v>2015 год прогноз</c:v>
                </c:pt>
                <c:pt idx="3">
                  <c:v>2016 год прогноз</c:v>
                </c:pt>
                <c:pt idx="4">
                  <c:v>2017 год прогноз</c:v>
                </c:pt>
              </c:strCache>
            </c:strRef>
          </c:cat>
          <c:val>
            <c:numRef>
              <c:f>Лист1!$B$37:$F$37</c:f>
              <c:numCache>
                <c:formatCode>General</c:formatCode>
                <c:ptCount val="5"/>
                <c:pt idx="0">
                  <c:v>13.095000000000002</c:v>
                </c:pt>
                <c:pt idx="1">
                  <c:v>13.495000000000006</c:v>
                </c:pt>
                <c:pt idx="2" formatCode="0.00">
                  <c:v>13.489000000000004</c:v>
                </c:pt>
                <c:pt idx="3" formatCode="0.00">
                  <c:v>13.493</c:v>
                </c:pt>
                <c:pt idx="4" formatCode="0.00">
                  <c:v>13.508000000000001</c:v>
                </c:pt>
              </c:numCache>
            </c:numRef>
          </c:val>
        </c:ser>
        <c:ser>
          <c:idx val="1"/>
          <c:order val="1"/>
          <c:tx>
            <c:strRef>
              <c:f>Лист1!$A$38</c:f>
              <c:strCache>
                <c:ptCount val="1"/>
                <c:pt idx="0">
                  <c:v>Численность занятых в малом бизнесе</c:v>
                </c:pt>
              </c:strCache>
            </c:strRef>
          </c:tx>
          <c:spPr>
            <a:solidFill>
              <a:schemeClr val="accent2">
                <a:lumMod val="40000"/>
                <a:lumOff val="60000"/>
              </a:schemeClr>
            </a:solidFill>
          </c:spPr>
          <c:dLbls>
            <c:txPr>
              <a:bodyPr/>
              <a:lstStyle/>
              <a:p>
                <a:pPr>
                  <a:defRPr sz="1000" b="0" i="0" u="none" strike="noStrike" baseline="0">
                    <a:solidFill>
                      <a:srgbClr val="000000"/>
                    </a:solidFill>
                    <a:latin typeface="Times New Roman"/>
                    <a:ea typeface="Times New Roman"/>
                    <a:cs typeface="Times New Roman"/>
                  </a:defRPr>
                </a:pPr>
                <a:endParaRPr lang="ru-RU"/>
              </a:p>
            </c:txPr>
            <c:showVal val="1"/>
          </c:dLbls>
          <c:cat>
            <c:strRef>
              <c:f>Лист1!$B$36:$F$36</c:f>
              <c:strCache>
                <c:ptCount val="5"/>
                <c:pt idx="0">
                  <c:v>   2013 год</c:v>
                </c:pt>
                <c:pt idx="1">
                  <c:v>2014 год оценка</c:v>
                </c:pt>
                <c:pt idx="2">
                  <c:v>2015 год прогноз</c:v>
                </c:pt>
                <c:pt idx="3">
                  <c:v>2016 год прогноз</c:v>
                </c:pt>
                <c:pt idx="4">
                  <c:v>2017 год прогноз</c:v>
                </c:pt>
              </c:strCache>
            </c:strRef>
          </c:cat>
          <c:val>
            <c:numRef>
              <c:f>Лист1!$B$38:$F$38</c:f>
              <c:numCache>
                <c:formatCode>0.00</c:formatCode>
                <c:ptCount val="5"/>
                <c:pt idx="0">
                  <c:v>4.0999999999999996</c:v>
                </c:pt>
                <c:pt idx="1">
                  <c:v>4.2300000000000004</c:v>
                </c:pt>
                <c:pt idx="2">
                  <c:v>4.26</c:v>
                </c:pt>
                <c:pt idx="3">
                  <c:v>4.29</c:v>
                </c:pt>
                <c:pt idx="4">
                  <c:v>4.3099999999999996</c:v>
                </c:pt>
              </c:numCache>
            </c:numRef>
          </c:val>
        </c:ser>
        <c:dLbls/>
        <c:gapWidth val="75"/>
        <c:shape val="box"/>
        <c:axId val="145126144"/>
        <c:axId val="145127680"/>
        <c:axId val="0"/>
      </c:bar3DChart>
      <c:catAx>
        <c:axId val="145126144"/>
        <c:scaling>
          <c:orientation val="minMax"/>
        </c:scaling>
        <c:axPos val="b"/>
        <c:numFmt formatCode="General" sourceLinked="1"/>
        <c:majorTickMark val="none"/>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45127680"/>
        <c:crosses val="autoZero"/>
        <c:auto val="1"/>
        <c:lblAlgn val="ctr"/>
        <c:lblOffset val="100"/>
      </c:catAx>
      <c:valAx>
        <c:axId val="145127680"/>
        <c:scaling>
          <c:orientation val="minMax"/>
        </c:scaling>
        <c:delete val="1"/>
        <c:axPos val="l"/>
        <c:numFmt formatCode="General" sourceLinked="1"/>
        <c:tickLblPos val="none"/>
        <c:crossAx val="145126144"/>
        <c:crosses val="autoZero"/>
        <c:crossBetween val="between"/>
      </c:valAx>
      <c:spPr>
        <a:noFill/>
        <a:ln w="25400">
          <a:noFill/>
        </a:ln>
      </c:spPr>
    </c:plotArea>
    <c:legend>
      <c:legendPos val="b"/>
      <c:layout/>
      <c:txPr>
        <a:bodyPr/>
        <a:lstStyle/>
        <a:p>
          <a:pPr>
            <a:defRPr sz="920"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ru-RU"/>
  <c:style val="5"/>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ru-RU"/>
              <a:t>Динамика демографических показателей на территории Белоярского района</a:t>
            </a:r>
          </a:p>
        </c:rich>
      </c:tx>
      <c:layout>
        <c:manualLayout>
          <c:xMode val="edge"/>
          <c:yMode val="edge"/>
          <c:x val="0.13630351055084727"/>
          <c:y val="2.2988365260312612E-2"/>
        </c:manualLayout>
      </c:layout>
    </c:title>
    <c:plotArea>
      <c:layout/>
      <c:barChart>
        <c:barDir val="col"/>
        <c:grouping val="clustered"/>
        <c:ser>
          <c:idx val="0"/>
          <c:order val="0"/>
          <c:tx>
            <c:strRef>
              <c:f>демогр!$I$3:$J$3</c:f>
              <c:strCache>
                <c:ptCount val="1"/>
                <c:pt idx="0">
                  <c:v>Родилось, человек</c:v>
                </c:pt>
              </c:strCache>
            </c:strRef>
          </c:tx>
          <c:spPr>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txPr>
              <a:bodyPr/>
              <a:lstStyle/>
              <a:p>
                <a:pPr>
                  <a:defRPr sz="1000" b="1" i="0" u="none" strike="noStrike" baseline="0">
                    <a:solidFill>
                      <a:srgbClr val="000000"/>
                    </a:solidFill>
                    <a:latin typeface="Times New Roman"/>
                    <a:ea typeface="Times New Roman"/>
                    <a:cs typeface="Times New Roman"/>
                  </a:defRPr>
                </a:pPr>
                <a:endParaRPr lang="ru-RU"/>
              </a:p>
            </c:txPr>
            <c:dLblPos val="inEnd"/>
            <c:showVal val="1"/>
          </c:dLbls>
          <c:cat>
            <c:strRef>
              <c:f>демогр!$K$2:$P$2</c:f>
              <c:strCache>
                <c:ptCount val="6"/>
                <c:pt idx="0">
                  <c:v>2012 год </c:v>
                </c:pt>
                <c:pt idx="1">
                  <c:v>2013 год </c:v>
                </c:pt>
                <c:pt idx="2">
                  <c:v>2014 год оценка</c:v>
                </c:pt>
                <c:pt idx="3">
                  <c:v>2015 год прогноз</c:v>
                </c:pt>
                <c:pt idx="4">
                  <c:v>2016 год прогноз</c:v>
                </c:pt>
                <c:pt idx="5">
                  <c:v>2017 год прогноз</c:v>
                </c:pt>
              </c:strCache>
            </c:strRef>
          </c:cat>
          <c:val>
            <c:numRef>
              <c:f>демогр!$K$3:$P$3</c:f>
              <c:numCache>
                <c:formatCode>General</c:formatCode>
                <c:ptCount val="6"/>
                <c:pt idx="0">
                  <c:v>452</c:v>
                </c:pt>
                <c:pt idx="1">
                  <c:v>423</c:v>
                </c:pt>
                <c:pt idx="2">
                  <c:v>400</c:v>
                </c:pt>
                <c:pt idx="3">
                  <c:v>410</c:v>
                </c:pt>
                <c:pt idx="4">
                  <c:v>415</c:v>
                </c:pt>
                <c:pt idx="5">
                  <c:v>415</c:v>
                </c:pt>
              </c:numCache>
            </c:numRef>
          </c:val>
        </c:ser>
        <c:ser>
          <c:idx val="2"/>
          <c:order val="2"/>
          <c:tx>
            <c:strRef>
              <c:f>демогр!$I$5:$J$5</c:f>
              <c:strCache>
                <c:ptCount val="1"/>
                <c:pt idx="0">
                  <c:v>Умерло, человек</c:v>
                </c:pt>
              </c:strCache>
            </c:strRef>
          </c:tx>
          <c:dLbls>
            <c:txPr>
              <a:bodyPr/>
              <a:lstStyle/>
              <a:p>
                <a:pPr>
                  <a:defRPr b="1"/>
                </a:pPr>
                <a:endParaRPr lang="ru-RU"/>
              </a:p>
            </c:txPr>
            <c:dLblPos val="inEnd"/>
            <c:showVal val="1"/>
          </c:dLbls>
          <c:cat>
            <c:strRef>
              <c:f>демогр!$K$2:$P$2</c:f>
              <c:strCache>
                <c:ptCount val="6"/>
                <c:pt idx="0">
                  <c:v>2012 год </c:v>
                </c:pt>
                <c:pt idx="1">
                  <c:v>2013 год </c:v>
                </c:pt>
                <c:pt idx="2">
                  <c:v>2014 год оценка</c:v>
                </c:pt>
                <c:pt idx="3">
                  <c:v>2015 год прогноз</c:v>
                </c:pt>
                <c:pt idx="4">
                  <c:v>2016 год прогноз</c:v>
                </c:pt>
                <c:pt idx="5">
                  <c:v>2017 год прогноз</c:v>
                </c:pt>
              </c:strCache>
            </c:strRef>
          </c:cat>
          <c:val>
            <c:numRef>
              <c:f>демогр!$K$5:$P$5</c:f>
              <c:numCache>
                <c:formatCode>General</c:formatCode>
                <c:ptCount val="6"/>
                <c:pt idx="0">
                  <c:v>176</c:v>
                </c:pt>
                <c:pt idx="1">
                  <c:v>173</c:v>
                </c:pt>
                <c:pt idx="2">
                  <c:v>172</c:v>
                </c:pt>
                <c:pt idx="3">
                  <c:v>170</c:v>
                </c:pt>
                <c:pt idx="4">
                  <c:v>160</c:v>
                </c:pt>
                <c:pt idx="5">
                  <c:v>160</c:v>
                </c:pt>
              </c:numCache>
            </c:numRef>
          </c:val>
        </c:ser>
        <c:dLbls/>
        <c:gapWidth val="75"/>
        <c:axId val="145294848"/>
        <c:axId val="145296384"/>
      </c:barChart>
      <c:lineChart>
        <c:grouping val="standard"/>
        <c:ser>
          <c:idx val="1"/>
          <c:order val="1"/>
          <c:tx>
            <c:strRef>
              <c:f>демогр!$I$4:$J$4</c:f>
              <c:strCache>
                <c:ptCount val="1"/>
                <c:pt idx="0">
                  <c:v>Коэффициент естественного прироста, промилле</c:v>
                </c:pt>
              </c:strCache>
            </c:strRef>
          </c:tx>
          <c:spPr>
            <a:ln>
              <a:solidFill>
                <a:srgbClr val="C0504D">
                  <a:lumMod val="60000"/>
                  <a:lumOff val="40000"/>
                </a:srgbClr>
              </a:solidFill>
            </a:ln>
          </c:spPr>
          <c:marker>
            <c:spPr>
              <a:solidFill>
                <a:srgbClr val="C0504D">
                  <a:lumMod val="75000"/>
                </a:srgbClr>
              </a:solidFill>
              <a:ln>
                <a:solidFill>
                  <a:srgbClr val="C0504D">
                    <a:lumMod val="60000"/>
                    <a:lumOff val="40000"/>
                  </a:srgbClr>
                </a:solidFill>
              </a:ln>
            </c:spPr>
          </c:marker>
          <c:dLbls>
            <c:dLbl>
              <c:idx val="0"/>
              <c:layout>
                <c:manualLayout>
                  <c:x val="-4.5844334878700911E-2"/>
                  <c:y val="-4.4189119226193702E-2"/>
                </c:manualLayout>
              </c:layout>
              <c:dLblPos val="r"/>
              <c:showVal val="1"/>
            </c:dLbl>
            <c:dLbl>
              <c:idx val="1"/>
              <c:layout>
                <c:manualLayout>
                  <c:x val="-4.5844334878700883E-2"/>
                  <c:y val="-4.0209020971043723E-2"/>
                </c:manualLayout>
              </c:layout>
              <c:dLblPos val="r"/>
              <c:showVal val="1"/>
            </c:dLbl>
            <c:dLbl>
              <c:idx val="2"/>
              <c:layout>
                <c:manualLayout>
                  <c:x val="-5.7146417445482912E-2"/>
                  <c:y val="-4.8169217481343722E-2"/>
                </c:manualLayout>
              </c:layout>
              <c:dLblPos val="r"/>
              <c:showVal val="1"/>
            </c:dLbl>
            <c:dLbl>
              <c:idx val="3"/>
              <c:layout>
                <c:manualLayout>
                  <c:x val="-5.7146417445482912E-2"/>
                  <c:y val="-4.4189119226193702E-2"/>
                </c:manualLayout>
              </c:layout>
              <c:dLblPos val="r"/>
              <c:showVal val="1"/>
            </c:dLbl>
            <c:dLbl>
              <c:idx val="4"/>
              <c:layout>
                <c:manualLayout>
                  <c:x val="-5.2161993769470311E-2"/>
                  <c:y val="-4.4189119226193702E-2"/>
                </c:manualLayout>
              </c:layout>
              <c:dLblPos val="r"/>
              <c:showVal val="1"/>
            </c:dLbl>
            <c:txPr>
              <a:bodyPr/>
              <a:lstStyle/>
              <a:p>
                <a:pPr>
                  <a:defRPr sz="1000" b="1" i="0" u="none" strike="noStrike" baseline="0">
                    <a:solidFill>
                      <a:srgbClr val="000000"/>
                    </a:solidFill>
                    <a:latin typeface="Times New Roman"/>
                    <a:ea typeface="Times New Roman"/>
                    <a:cs typeface="Times New Roman"/>
                  </a:defRPr>
                </a:pPr>
                <a:endParaRPr lang="ru-RU"/>
              </a:p>
            </c:txPr>
            <c:dLblPos val="t"/>
            <c:showVal val="1"/>
          </c:dLbls>
          <c:cat>
            <c:strRef>
              <c:f>демогр!$K$2:$P$2</c:f>
              <c:strCache>
                <c:ptCount val="6"/>
                <c:pt idx="0">
                  <c:v>2012 год </c:v>
                </c:pt>
                <c:pt idx="1">
                  <c:v>2013 год </c:v>
                </c:pt>
                <c:pt idx="2">
                  <c:v>2014 год оценка</c:v>
                </c:pt>
                <c:pt idx="3">
                  <c:v>2015 год прогноз</c:v>
                </c:pt>
                <c:pt idx="4">
                  <c:v>2016 год прогноз</c:v>
                </c:pt>
                <c:pt idx="5">
                  <c:v>2017 год прогноз</c:v>
                </c:pt>
              </c:strCache>
            </c:strRef>
          </c:cat>
          <c:val>
            <c:numRef>
              <c:f>демогр!$K$4:$P$4</c:f>
              <c:numCache>
                <c:formatCode>General</c:formatCode>
                <c:ptCount val="6"/>
                <c:pt idx="0">
                  <c:v>9.2000000000000011</c:v>
                </c:pt>
                <c:pt idx="1">
                  <c:v>8.4</c:v>
                </c:pt>
                <c:pt idx="2" formatCode="0.0">
                  <c:v>7.6</c:v>
                </c:pt>
                <c:pt idx="3" formatCode="0.0">
                  <c:v>8</c:v>
                </c:pt>
                <c:pt idx="4">
                  <c:v>8.5</c:v>
                </c:pt>
                <c:pt idx="5">
                  <c:v>8.5</c:v>
                </c:pt>
              </c:numCache>
            </c:numRef>
          </c:val>
        </c:ser>
        <c:dLbls/>
        <c:marker val="1"/>
        <c:axId val="145310848"/>
        <c:axId val="145312384"/>
      </c:lineChart>
      <c:catAx>
        <c:axId val="145294848"/>
        <c:scaling>
          <c:orientation val="minMax"/>
        </c:scaling>
        <c:axPos val="b"/>
        <c:numFmt formatCode="General" sourceLinked="1"/>
        <c:majorTickMark val="none"/>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45296384"/>
        <c:crosses val="autoZero"/>
        <c:auto val="1"/>
        <c:lblAlgn val="ctr"/>
        <c:lblOffset val="100"/>
      </c:catAx>
      <c:valAx>
        <c:axId val="145296384"/>
        <c:scaling>
          <c:orientation val="minMax"/>
          <c:max val="700"/>
          <c:min val="100"/>
        </c:scaling>
        <c:axPos val="l"/>
        <c:majorGridlines/>
        <c:title>
          <c:tx>
            <c:rich>
              <a:bodyPr/>
              <a:lstStyle/>
              <a:p>
                <a:pPr>
                  <a:defRPr sz="1000" b="1" i="0" u="none" strike="noStrike" baseline="0">
                    <a:solidFill>
                      <a:srgbClr val="000000"/>
                    </a:solidFill>
                    <a:latin typeface="Times New Roman"/>
                    <a:ea typeface="Times New Roman"/>
                    <a:cs typeface="Times New Roman"/>
                  </a:defRPr>
                </a:pPr>
                <a:r>
                  <a:rPr lang="ru-RU"/>
                  <a:t>человек</a:t>
                </a:r>
              </a:p>
            </c:rich>
          </c:tx>
          <c:layout>
            <c:manualLayout>
              <c:xMode val="edge"/>
              <c:yMode val="edge"/>
              <c:x val="2.5958702064896755E-2"/>
              <c:y val="0.39014162569780747"/>
            </c:manualLayout>
          </c:layout>
        </c:title>
        <c:numFmt formatCode="General" sourceLinked="1"/>
        <c:majorTickMark val="none"/>
        <c:tickLblPos val="nextTo"/>
        <c:spPr>
          <a:ln w="9525">
            <a:noFill/>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45294848"/>
        <c:crosses val="autoZero"/>
        <c:crossBetween val="between"/>
        <c:majorUnit val="100"/>
        <c:minorUnit val="4"/>
      </c:valAx>
      <c:catAx>
        <c:axId val="145310848"/>
        <c:scaling>
          <c:orientation val="minMax"/>
        </c:scaling>
        <c:delete val="1"/>
        <c:axPos val="b"/>
        <c:tickLblPos val="none"/>
        <c:crossAx val="145312384"/>
        <c:crossesAt val="157.6"/>
        <c:auto val="1"/>
        <c:lblAlgn val="ctr"/>
        <c:lblOffset val="100"/>
      </c:catAx>
      <c:valAx>
        <c:axId val="145312384"/>
        <c:scaling>
          <c:orientation val="minMax"/>
          <c:max val="12"/>
          <c:min val="0"/>
        </c:scaling>
        <c:axPos val="r"/>
        <c:title>
          <c:tx>
            <c:rich>
              <a:bodyPr/>
              <a:lstStyle/>
              <a:p>
                <a:pPr>
                  <a:defRPr sz="1000" b="1" i="0" u="none" strike="noStrike" baseline="0">
                    <a:solidFill>
                      <a:srgbClr val="000000"/>
                    </a:solidFill>
                    <a:latin typeface="Times New Roman"/>
                    <a:ea typeface="Times New Roman"/>
                    <a:cs typeface="Times New Roman"/>
                  </a:defRPr>
                </a:pPr>
                <a:r>
                  <a:rPr lang="ru-RU"/>
                  <a:t>промилле</a:t>
                </a:r>
              </a:p>
            </c:rich>
          </c:tx>
          <c:layout>
            <c:manualLayout>
              <c:xMode val="edge"/>
              <c:yMode val="edge"/>
              <c:x val="0.93746687864334921"/>
              <c:y val="0.37757542993692988"/>
            </c:manualLayout>
          </c:layout>
        </c:title>
        <c:numFmt formatCode="General" sourceLinked="1"/>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45310848"/>
        <c:crosses val="max"/>
        <c:crossBetween val="between"/>
        <c:majorUnit val="2"/>
      </c:valAx>
      <c:spPr>
        <a:solidFill>
          <a:srgbClr val="F79646">
            <a:lumMod val="20000"/>
            <a:lumOff val="80000"/>
          </a:srgbClr>
        </a:solidFill>
      </c:spPr>
    </c:plotArea>
    <c:legend>
      <c:legendPos val="b"/>
      <c:layout/>
      <c:txPr>
        <a:bodyPr/>
        <a:lstStyle/>
        <a:p>
          <a:pPr>
            <a:defRPr sz="1000" b="0" i="0" u="none" strike="noStrike" baseline="0">
              <a:solidFill>
                <a:srgbClr val="000000"/>
              </a:solidFill>
              <a:latin typeface="Times New Roman"/>
              <a:ea typeface="Times New Roman"/>
              <a:cs typeface="Times New Roman"/>
            </a:defRPr>
          </a:pPr>
          <a:endParaRPr lang="ru-RU"/>
        </a:p>
      </c:txPr>
    </c:legend>
    <c:plotVisOnly val="1"/>
    <c:dispBlanksAs val="gap"/>
  </c:chart>
  <c:spPr>
    <a:solidFill>
      <a:sysClr val="window" lastClr="FFFFFF"/>
    </a:solidFill>
    <a:ln>
      <a:solidFill>
        <a:sysClr val="window" lastClr="FFFFFF"/>
      </a:solidFill>
    </a:ln>
    <a:effectLst/>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100" b="1" i="0" u="none" strike="noStrike" baseline="0">
                <a:solidFill>
                  <a:srgbClr val="000000"/>
                </a:solidFill>
                <a:latin typeface="Times New Roman"/>
                <a:ea typeface="Times New Roman"/>
                <a:cs typeface="Times New Roman"/>
              </a:defRPr>
            </a:pPr>
            <a:r>
              <a:rPr lang="ru-RU"/>
              <a:t>Обеспеченность медицинскими кадрами, человек на 10 тыс. населения Белоярского района</a:t>
            </a:r>
          </a:p>
        </c:rich>
      </c:tx>
      <c:layout/>
    </c:title>
    <c:plotArea>
      <c:layout/>
      <c:lineChart>
        <c:grouping val="standard"/>
        <c:ser>
          <c:idx val="0"/>
          <c:order val="0"/>
          <c:tx>
            <c:strRef>
              <c:f>здрав!$A$3:$F$3</c:f>
              <c:strCache>
                <c:ptCount val="1"/>
                <c:pt idx="0">
                  <c:v>Обеспеченность врачами</c:v>
                </c:pt>
              </c:strCache>
            </c:strRef>
          </c:tx>
          <c:dLbls>
            <c:dLbl>
              <c:idx val="0"/>
              <c:layout>
                <c:manualLayout>
                  <c:x val="-4.1595441595441714E-2"/>
                  <c:y val="-3.8377192982456211E-2"/>
                </c:manualLayout>
              </c:layout>
              <c:dLblPos val="r"/>
              <c:showVal val="1"/>
            </c:dLbl>
            <c:dLbl>
              <c:idx val="1"/>
              <c:layout>
                <c:manualLayout>
                  <c:x val="-4.1595441595441714E-2"/>
                  <c:y val="-4.2763157894737877E-2"/>
                </c:manualLayout>
              </c:layout>
              <c:dLblPos val="r"/>
              <c:showVal val="1"/>
            </c:dLbl>
            <c:dLbl>
              <c:idx val="2"/>
              <c:layout>
                <c:manualLayout>
                  <c:x val="-4.1595441595441714E-2"/>
                  <c:y val="-4.7149122807017545E-2"/>
                </c:manualLayout>
              </c:layout>
              <c:dLblPos val="r"/>
              <c:showVal val="1"/>
            </c:dLbl>
            <c:dLbl>
              <c:idx val="3"/>
              <c:layout>
                <c:manualLayout>
                  <c:x val="-4.1595441595441714E-2"/>
                  <c:y val="-4.7149122807017545E-2"/>
                </c:manualLayout>
              </c:layout>
              <c:dLblPos val="r"/>
              <c:showVal val="1"/>
            </c:dLbl>
            <c:dLbl>
              <c:idx val="4"/>
              <c:layout>
                <c:manualLayout>
                  <c:x val="-4.1595441595441512E-2"/>
                  <c:y val="-5.1535087719298274E-2"/>
                </c:manualLayout>
              </c:layout>
              <c:dLblPos val="r"/>
              <c:showVal val="1"/>
            </c:dLbl>
            <c:dLbl>
              <c:idx val="5"/>
              <c:layout>
                <c:manualLayout>
                  <c:x val="-4.1595441595441714E-2"/>
                  <c:y val="-4.7149122807017545E-2"/>
                </c:manualLayout>
              </c:layout>
              <c:dLblPos val="r"/>
              <c:showVal val="1"/>
            </c:dLbl>
            <c:txPr>
              <a:bodyPr/>
              <a:lstStyle/>
              <a:p>
                <a:pPr>
                  <a:defRPr sz="1000" b="1" i="0" u="none" strike="noStrike" baseline="0">
                    <a:solidFill>
                      <a:srgbClr val="000000"/>
                    </a:solidFill>
                    <a:latin typeface="Times New Roman"/>
                    <a:ea typeface="Times New Roman"/>
                    <a:cs typeface="Times New Roman"/>
                  </a:defRPr>
                </a:pPr>
                <a:endParaRPr lang="ru-RU"/>
              </a:p>
            </c:txPr>
            <c:dLblPos val="t"/>
            <c:showVal val="1"/>
          </c:dLbls>
          <c:cat>
            <c:strRef>
              <c:f>здрав!$G$2:$L$2</c:f>
              <c:strCache>
                <c:ptCount val="6"/>
                <c:pt idx="0">
                  <c:v>2012 год </c:v>
                </c:pt>
                <c:pt idx="1">
                  <c:v>2013 год </c:v>
                </c:pt>
                <c:pt idx="2">
                  <c:v>2014 год оценка</c:v>
                </c:pt>
                <c:pt idx="3">
                  <c:v>2015 год прогноз</c:v>
                </c:pt>
                <c:pt idx="4">
                  <c:v>2016 год прогноз</c:v>
                </c:pt>
                <c:pt idx="5">
                  <c:v>2017 год прогноз</c:v>
                </c:pt>
              </c:strCache>
            </c:strRef>
          </c:cat>
          <c:val>
            <c:numRef>
              <c:f>здрав!$G$3:$L$3</c:f>
              <c:numCache>
                <c:formatCode>General</c:formatCode>
                <c:ptCount val="6"/>
                <c:pt idx="0">
                  <c:v>40</c:v>
                </c:pt>
                <c:pt idx="1">
                  <c:v>39</c:v>
                </c:pt>
                <c:pt idx="2">
                  <c:v>41</c:v>
                </c:pt>
                <c:pt idx="3">
                  <c:v>43</c:v>
                </c:pt>
                <c:pt idx="4">
                  <c:v>44</c:v>
                </c:pt>
                <c:pt idx="5">
                  <c:v>45</c:v>
                </c:pt>
              </c:numCache>
            </c:numRef>
          </c:val>
        </c:ser>
        <c:ser>
          <c:idx val="1"/>
          <c:order val="1"/>
          <c:tx>
            <c:strRef>
              <c:f>здрав!$A$4:$F$4</c:f>
              <c:strCache>
                <c:ptCount val="1"/>
                <c:pt idx="0">
                  <c:v>Обеспеченность средним медицинским персоналом</c:v>
                </c:pt>
              </c:strCache>
            </c:strRef>
          </c:tx>
          <c:dLbls>
            <c:txPr>
              <a:bodyPr/>
              <a:lstStyle/>
              <a:p>
                <a:pPr>
                  <a:defRPr sz="1000" b="1" i="0" u="none" strike="noStrike" baseline="0">
                    <a:solidFill>
                      <a:srgbClr val="000000"/>
                    </a:solidFill>
                    <a:latin typeface="Times New Roman"/>
                    <a:ea typeface="Times New Roman"/>
                    <a:cs typeface="Times New Roman"/>
                  </a:defRPr>
                </a:pPr>
                <a:endParaRPr lang="ru-RU"/>
              </a:p>
            </c:txPr>
            <c:dLblPos val="t"/>
            <c:showVal val="1"/>
          </c:dLbls>
          <c:cat>
            <c:strRef>
              <c:f>здрав!$G$2:$L$2</c:f>
              <c:strCache>
                <c:ptCount val="6"/>
                <c:pt idx="0">
                  <c:v>2012 год </c:v>
                </c:pt>
                <c:pt idx="1">
                  <c:v>2013 год </c:v>
                </c:pt>
                <c:pt idx="2">
                  <c:v>2014 год оценка</c:v>
                </c:pt>
                <c:pt idx="3">
                  <c:v>2015 год прогноз</c:v>
                </c:pt>
                <c:pt idx="4">
                  <c:v>2016 год прогноз</c:v>
                </c:pt>
                <c:pt idx="5">
                  <c:v>2017 год прогноз</c:v>
                </c:pt>
              </c:strCache>
            </c:strRef>
          </c:cat>
          <c:val>
            <c:numRef>
              <c:f>здрав!$G$4:$L$4</c:f>
              <c:numCache>
                <c:formatCode>General</c:formatCode>
                <c:ptCount val="6"/>
                <c:pt idx="0">
                  <c:v>101</c:v>
                </c:pt>
                <c:pt idx="1">
                  <c:v>102.3</c:v>
                </c:pt>
                <c:pt idx="2">
                  <c:v>112.8</c:v>
                </c:pt>
                <c:pt idx="3">
                  <c:v>113.5</c:v>
                </c:pt>
                <c:pt idx="4">
                  <c:v>114.5</c:v>
                </c:pt>
                <c:pt idx="5">
                  <c:v>110.4</c:v>
                </c:pt>
              </c:numCache>
            </c:numRef>
          </c:val>
        </c:ser>
        <c:dLbls>
          <c:showVal val="1"/>
        </c:dLbls>
        <c:marker val="1"/>
        <c:axId val="145183104"/>
        <c:axId val="145184640"/>
      </c:lineChart>
      <c:catAx>
        <c:axId val="145183104"/>
        <c:scaling>
          <c:orientation val="minMax"/>
        </c:scaling>
        <c:axPos val="b"/>
        <c:numFmt formatCode="General" sourceLinked="1"/>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45184640"/>
        <c:crosses val="autoZero"/>
        <c:auto val="1"/>
        <c:lblAlgn val="ctr"/>
        <c:lblOffset val="100"/>
      </c:catAx>
      <c:valAx>
        <c:axId val="145184640"/>
        <c:scaling>
          <c:orientation val="minMax"/>
          <c:max val="140"/>
        </c:scaling>
        <c:axPos val="l"/>
        <c:numFmt formatCode="General" sourceLinked="1"/>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45183104"/>
        <c:crosses val="autoZero"/>
        <c:crossBetween val="between"/>
        <c:majorUnit val="20"/>
        <c:minorUnit val="4"/>
      </c:valAx>
    </c:plotArea>
    <c:legend>
      <c:legendPos val="b"/>
      <c:layout/>
      <c:txPr>
        <a:bodyPr/>
        <a:lstStyle/>
        <a:p>
          <a:pPr>
            <a:defRPr sz="1000" b="0" i="0" u="none" strike="noStrike" baseline="0">
              <a:solidFill>
                <a:srgbClr val="000000"/>
              </a:solidFill>
              <a:latin typeface="Times New Roman"/>
              <a:ea typeface="Times New Roman"/>
              <a:cs typeface="Times New Roman"/>
            </a:defRPr>
          </a:pPr>
          <a:endParaRPr lang="ru-RU"/>
        </a:p>
      </c:txPr>
    </c:legend>
    <c:plotVisOnly val="1"/>
    <c:dispBlanksAs val="zero"/>
  </c:chart>
  <c:spPr>
    <a:ln>
      <a:solidFill>
        <a:schemeClr val="bg1"/>
      </a:solidFill>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175" b="1" i="0" u="none" strike="noStrike" baseline="0">
                <a:solidFill>
                  <a:srgbClr val="000000"/>
                </a:solidFill>
                <a:latin typeface="Times New Roman"/>
                <a:ea typeface="Times New Roman"/>
                <a:cs typeface="Times New Roman"/>
              </a:defRPr>
            </a:pPr>
            <a:r>
              <a:rPr lang="ru-RU"/>
              <a:t>Структура промышленного производства на территории Белоярского района в оценке 2014 года  </a:t>
            </a:r>
          </a:p>
        </c:rich>
      </c:tx>
      <c:layout>
        <c:manualLayout>
          <c:xMode val="edge"/>
          <c:yMode val="edge"/>
          <c:x val="0.16333368328958867"/>
          <c:y val="3.8327462356679096E-2"/>
        </c:manualLayout>
      </c:layout>
      <c:spPr>
        <a:noFill/>
        <a:ln w="25400">
          <a:noFill/>
        </a:ln>
      </c:spPr>
    </c:title>
    <c:view3D>
      <c:rotY val="70"/>
      <c:perspective val="0"/>
    </c:view3D>
    <c:plotArea>
      <c:layout>
        <c:manualLayout>
          <c:layoutTarget val="inner"/>
          <c:xMode val="edge"/>
          <c:yMode val="edge"/>
          <c:x val="4.6666742621651387E-2"/>
          <c:y val="0.40766550522648082"/>
          <c:w val="0.59666763780540011"/>
          <c:h val="0.49477351916376572"/>
        </c:manualLayout>
      </c:layout>
      <c:pie3DChart>
        <c:varyColors val="1"/>
        <c:ser>
          <c:idx val="1"/>
          <c:order val="0"/>
          <c:tx>
            <c:strRef>
              <c:f>'Белоярский р-н'!$C$15</c:f>
              <c:strCache>
                <c:ptCount val="1"/>
                <c:pt idx="0">
                  <c:v>2014 год оценка</c:v>
                </c:pt>
              </c:strCache>
            </c:strRef>
          </c:tx>
          <c:spPr>
            <a:solidFill>
              <a:srgbClr val="00CCFF"/>
            </a:solidFill>
            <a:ln w="12700">
              <a:solidFill>
                <a:srgbClr val="000000"/>
              </a:solidFill>
              <a:prstDash val="solid"/>
            </a:ln>
          </c:spPr>
          <c:explosion val="12"/>
          <c:dPt>
            <c:idx val="0"/>
            <c:spPr>
              <a:gradFill rotWithShape="0">
                <a:gsLst>
                  <a:gs pos="0">
                    <a:srgbClr val="75EFA6"/>
                  </a:gs>
                  <a:gs pos="50000">
                    <a:srgbClr val="6FE75F"/>
                  </a:gs>
                  <a:gs pos="100000">
                    <a:srgbClr val="47A352"/>
                  </a:gs>
                </a:gsLst>
                <a:lin ang="2700000" scaled="1"/>
              </a:gradFill>
              <a:ln w="12700">
                <a:solidFill>
                  <a:srgbClr val="000000"/>
                </a:solidFill>
                <a:prstDash val="solid"/>
              </a:ln>
            </c:spPr>
          </c:dPt>
          <c:dPt>
            <c:idx val="1"/>
            <c:spPr>
              <a:gradFill rotWithShape="0">
                <a:gsLst>
                  <a:gs pos="0">
                    <a:srgbClr val="CC99FF"/>
                  </a:gs>
                  <a:gs pos="100000">
                    <a:srgbClr val="CC99FF">
                      <a:gamma/>
                      <a:shade val="73725"/>
                      <a:invGamma/>
                    </a:srgbClr>
                  </a:gs>
                </a:gsLst>
                <a:path path="rect">
                  <a:fillToRect l="100000" b="100000"/>
                </a:path>
              </a:gradFill>
              <a:ln w="12700">
                <a:solidFill>
                  <a:srgbClr val="000000"/>
                </a:solidFill>
                <a:prstDash val="solid"/>
              </a:ln>
            </c:spPr>
          </c:dPt>
          <c:dPt>
            <c:idx val="2"/>
            <c:spPr>
              <a:gradFill rotWithShape="0">
                <a:gsLst>
                  <a:gs pos="0">
                    <a:srgbClr val="FF99CC"/>
                  </a:gs>
                  <a:gs pos="100000">
                    <a:srgbClr val="FF99CC">
                      <a:gamma/>
                      <a:shade val="80392"/>
                      <a:invGamma/>
                    </a:srgbClr>
                  </a:gs>
                </a:gsLst>
                <a:path path="rect">
                  <a:fillToRect l="100000" t="100000"/>
                </a:path>
              </a:gradFill>
              <a:ln w="12700">
                <a:solidFill>
                  <a:srgbClr val="000000"/>
                </a:solidFill>
                <a:prstDash val="solid"/>
              </a:ln>
            </c:spPr>
          </c:dPt>
          <c:dLbls>
            <c:dLbl>
              <c:idx val="0"/>
              <c:layout>
                <c:manualLayout>
                  <c:x val="0.1330349956255468"/>
                  <c:y val="-0.23819830087028773"/>
                </c:manualLayout>
              </c:layout>
              <c:tx>
                <c:rich>
                  <a:bodyPr/>
                  <a:lstStyle/>
                  <a:p>
                    <a:r>
                      <a:rPr lang="en-US"/>
                      <a:t>8</a:t>
                    </a:r>
                    <a:r>
                      <a:rPr lang="ru-RU"/>
                      <a:t>4,0</a:t>
                    </a:r>
                    <a:r>
                      <a:rPr lang="en-US"/>
                      <a:t>%</a:t>
                    </a:r>
                  </a:p>
                </c:rich>
              </c:tx>
              <c:dLblPos val="bestFit"/>
              <c:showPercent val="1"/>
            </c:dLbl>
            <c:dLbl>
              <c:idx val="1"/>
              <c:layout>
                <c:manualLayout>
                  <c:x val="-7.9489588801399821E-2"/>
                  <c:y val="4.9182898190357781E-2"/>
                </c:manualLayout>
              </c:layout>
              <c:tx>
                <c:rich>
                  <a:bodyPr/>
                  <a:lstStyle/>
                  <a:p>
                    <a:r>
                      <a:rPr lang="ru-RU"/>
                      <a:t>9</a:t>
                    </a:r>
                    <a:r>
                      <a:rPr lang="en-US"/>
                      <a:t>,5%</a:t>
                    </a:r>
                  </a:p>
                </c:rich>
              </c:tx>
              <c:dLblPos val="bestFit"/>
              <c:showPercent val="1"/>
            </c:dLbl>
            <c:dLbl>
              <c:idx val="2"/>
              <c:layout>
                <c:manualLayout>
                  <c:x val="-8.2433420822397199E-2"/>
                  <c:y val="1.9330708661417641E-2"/>
                </c:manualLayout>
              </c:layout>
              <c:tx>
                <c:rich>
                  <a:bodyPr/>
                  <a:lstStyle/>
                  <a:p>
                    <a:r>
                      <a:rPr lang="en-US"/>
                      <a:t>6,</a:t>
                    </a:r>
                    <a:r>
                      <a:rPr lang="ru-RU"/>
                      <a:t>5</a:t>
                    </a:r>
                    <a:r>
                      <a:rPr lang="en-US"/>
                      <a:t>%</a:t>
                    </a:r>
                  </a:p>
                </c:rich>
              </c:tx>
              <c:dLblPos val="bestFit"/>
              <c:showPercent val="1"/>
            </c:dLbl>
            <c:numFmt formatCode="0.0%" sourceLinked="0"/>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Percent val="1"/>
            <c:showLeaderLines val="1"/>
          </c:dLbls>
          <c:cat>
            <c:strRef>
              <c:f>'Белоярский р-н'!$A$16:$A$18</c:f>
              <c:strCache>
                <c:ptCount val="3"/>
                <c:pt idx="0">
                  <c:v>Добыча полезных ископаемых</c:v>
                </c:pt>
                <c:pt idx="1">
                  <c:v>Обрабатывающие производства</c:v>
                </c:pt>
                <c:pt idx="2">
                  <c:v>Производство и распределение электроэнергии, газа и воды   </c:v>
                </c:pt>
              </c:strCache>
            </c:strRef>
          </c:cat>
          <c:val>
            <c:numRef>
              <c:f>'Белоярский р-н'!$C$16:$C$18</c:f>
              <c:numCache>
                <c:formatCode>0.000</c:formatCode>
                <c:ptCount val="3"/>
                <c:pt idx="0">
                  <c:v>14480.772000000004</c:v>
                </c:pt>
                <c:pt idx="1">
                  <c:v>1841.6189999999999</c:v>
                </c:pt>
                <c:pt idx="2">
                  <c:v>1146.7850000000001</c:v>
                </c:pt>
              </c:numCache>
            </c:numRef>
          </c:val>
        </c:ser>
        <c:dLbls/>
      </c:pie3DChart>
      <c:spPr>
        <a:noFill/>
        <a:ln w="25400">
          <a:noFill/>
        </a:ln>
      </c:spPr>
    </c:plotArea>
    <c:legend>
      <c:legendPos val="r"/>
      <c:layout>
        <c:manualLayout>
          <c:xMode val="edge"/>
          <c:yMode val="edge"/>
          <c:x val="0.7300012248469"/>
          <c:y val="0.25783982594281313"/>
          <c:w val="0.26166701662292213"/>
          <c:h val="0.65505214808675238"/>
        </c:manualLayout>
      </c:layout>
      <c:spPr>
        <a:solidFill>
          <a:srgbClr val="FFFFFF"/>
        </a:solidFill>
        <a:ln w="3175">
          <a:solidFill>
            <a:srgbClr val="FFFFFF"/>
          </a:solidFill>
          <a:prstDash val="solid"/>
        </a:ln>
      </c:spPr>
      <c:txPr>
        <a:bodyPr/>
        <a:lstStyle/>
        <a:p>
          <a:pPr>
            <a:defRPr sz="920" b="0" i="0" u="none" strike="noStrike" baseline="0">
              <a:solidFill>
                <a:srgbClr val="000000"/>
              </a:solidFill>
              <a:latin typeface="Times New Roman"/>
              <a:ea typeface="Times New Roman"/>
              <a:cs typeface="Times New Roman"/>
            </a:defRPr>
          </a:pPr>
          <a:endParaRPr lang="ru-RU"/>
        </a:p>
      </c:txPr>
    </c:legend>
    <c:plotVisOnly val="1"/>
    <c:dispBlanksAs val="zero"/>
  </c:chart>
  <c:spPr>
    <a:solidFill>
      <a:srgbClr val="FFFFFF"/>
    </a:solidFill>
    <a:ln w="12700">
      <a:solidFill>
        <a:srgbClr val="FFFFFF"/>
      </a:solidFill>
      <a:prstDash val="solid"/>
    </a:ln>
  </c:spPr>
  <c:txPr>
    <a:bodyPr/>
    <a:lstStyle/>
    <a:p>
      <a:pPr>
        <a:defRPr sz="975" b="0" i="0" u="none" strike="noStrike" baseline="0">
          <a:solidFill>
            <a:srgbClr val="000000"/>
          </a:solidFill>
          <a:latin typeface="Arial Cyr"/>
          <a:ea typeface="Arial Cyr"/>
          <a:cs typeface="Arial Cyr"/>
        </a:defRPr>
      </a:pPr>
      <a:endParaRPr lang="ru-RU"/>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50" b="1" i="0" u="none" strike="noStrike" baseline="0">
                <a:solidFill>
                  <a:srgbClr val="000000"/>
                </a:solidFill>
                <a:latin typeface="Times New Roman"/>
                <a:ea typeface="Times New Roman"/>
                <a:cs typeface="Times New Roman"/>
              </a:defRPr>
            </a:pPr>
            <a:r>
              <a:rPr lang="ru-RU"/>
              <a:t>Обеспеченность учреждениями образования, мест на 1000 детей соответствующего возраста</a:t>
            </a:r>
          </a:p>
        </c:rich>
      </c:tx>
      <c:layout/>
    </c:title>
    <c:plotArea>
      <c:layout/>
      <c:lineChart>
        <c:grouping val="standard"/>
        <c:ser>
          <c:idx val="0"/>
          <c:order val="0"/>
          <c:tx>
            <c:strRef>
              <c:f>образ!$N$4</c:f>
              <c:strCache>
                <c:ptCount val="1"/>
                <c:pt idx="0">
                  <c:v>Общеобразовательными учреждениями</c:v>
                </c:pt>
              </c:strCache>
            </c:strRef>
          </c:tx>
          <c:dLbls>
            <c:dLbl>
              <c:idx val="0"/>
              <c:layout>
                <c:manualLayout>
                  <c:x val="-6.0349689791314158E-2"/>
                  <c:y val="-2.710843373493977E-2"/>
                </c:manualLayout>
              </c:layout>
              <c:dLblPos val="r"/>
              <c:showVal val="1"/>
            </c:dLbl>
            <c:dLbl>
              <c:idx val="1"/>
              <c:layout>
                <c:manualLayout>
                  <c:x val="-5.2453468697123522E-2"/>
                  <c:y val="-4.7188755020080318E-2"/>
                </c:manualLayout>
              </c:layout>
              <c:dLblPos val="r"/>
              <c:showVal val="1"/>
            </c:dLbl>
            <c:dLbl>
              <c:idx val="3"/>
              <c:layout>
                <c:manualLayout>
                  <c:x val="-4.5685279187817264E-2"/>
                  <c:y val="-5.5220883534136553E-2"/>
                </c:manualLayout>
              </c:layout>
              <c:dLblPos val="r"/>
              <c:showVal val="1"/>
            </c:dLbl>
            <c:dLbl>
              <c:idx val="4"/>
              <c:layout>
                <c:manualLayout>
                  <c:x val="-4.4557247602932892E-2"/>
                  <c:y val="-3.5140562248995984E-2"/>
                </c:manualLayout>
              </c:layout>
              <c:dLblPos val="r"/>
              <c:showVal val="1"/>
            </c:dLbl>
            <c:dLbl>
              <c:idx val="5"/>
              <c:layout>
                <c:manualLayout>
                  <c:x val="-4.6813310772701684E-2"/>
                  <c:y val="-3.5140562248995949E-2"/>
                </c:manualLayout>
              </c:layout>
              <c:dLblPos val="r"/>
              <c:showVal val="1"/>
            </c:dLbl>
            <c:txPr>
              <a:bodyPr/>
              <a:lstStyle/>
              <a:p>
                <a:pPr>
                  <a:defRPr sz="1000" b="1" i="0" u="none" strike="noStrike" baseline="0">
                    <a:solidFill>
                      <a:srgbClr val="000000"/>
                    </a:solidFill>
                    <a:latin typeface="Times New Roman"/>
                    <a:ea typeface="Times New Roman"/>
                    <a:cs typeface="Times New Roman"/>
                  </a:defRPr>
                </a:pPr>
                <a:endParaRPr lang="ru-RU"/>
              </a:p>
            </c:txPr>
            <c:dLblPos val="t"/>
            <c:showVal val="1"/>
          </c:dLbls>
          <c:cat>
            <c:strRef>
              <c:f>образ!$O$3:$S$3</c:f>
              <c:strCache>
                <c:ptCount val="5"/>
                <c:pt idx="0">
                  <c:v>2013 год </c:v>
                </c:pt>
                <c:pt idx="1">
                  <c:v>2014 год оценка</c:v>
                </c:pt>
                <c:pt idx="2">
                  <c:v>2015 год прогноз</c:v>
                </c:pt>
                <c:pt idx="3">
                  <c:v>2016 год прогноз</c:v>
                </c:pt>
                <c:pt idx="4">
                  <c:v>2017 год прогноз</c:v>
                </c:pt>
              </c:strCache>
            </c:strRef>
          </c:cat>
          <c:val>
            <c:numRef>
              <c:f>образ!$O$4:$S$4</c:f>
              <c:numCache>
                <c:formatCode>General</c:formatCode>
                <c:ptCount val="5"/>
                <c:pt idx="0">
                  <c:v>837</c:v>
                </c:pt>
                <c:pt idx="1">
                  <c:v>805</c:v>
                </c:pt>
                <c:pt idx="2">
                  <c:v>766</c:v>
                </c:pt>
                <c:pt idx="3">
                  <c:v>750</c:v>
                </c:pt>
                <c:pt idx="4">
                  <c:v>807</c:v>
                </c:pt>
              </c:numCache>
            </c:numRef>
          </c:val>
        </c:ser>
        <c:ser>
          <c:idx val="1"/>
          <c:order val="1"/>
          <c:tx>
            <c:strRef>
              <c:f>образ!$N$5</c:f>
              <c:strCache>
                <c:ptCount val="1"/>
                <c:pt idx="0">
                  <c:v>Учреждениями, оказывающими дошкольную образовательную услугу</c:v>
                </c:pt>
              </c:strCache>
            </c:strRef>
          </c:tx>
          <c:dLbls>
            <c:dLbl>
              <c:idx val="0"/>
              <c:layout>
                <c:manualLayout>
                  <c:x val="-6.5972222222222224E-2"/>
                  <c:y val="-4.0509259259259259E-2"/>
                </c:manualLayout>
              </c:layout>
              <c:dLblPos val="r"/>
              <c:showVal val="1"/>
            </c:dLbl>
            <c:dLbl>
              <c:idx val="1"/>
              <c:layout>
                <c:manualLayout>
                  <c:x val="-5.7638888888888892E-2"/>
                  <c:y val="-4.9768518518518524E-2"/>
                </c:manualLayout>
              </c:layout>
              <c:dLblPos val="r"/>
              <c:showVal val="1"/>
            </c:dLbl>
            <c:txPr>
              <a:bodyPr/>
              <a:lstStyle/>
              <a:p>
                <a:pPr>
                  <a:defRPr sz="1000" b="1" i="0" u="none" strike="noStrike" baseline="0">
                    <a:solidFill>
                      <a:srgbClr val="000000"/>
                    </a:solidFill>
                    <a:latin typeface="Times New Roman"/>
                    <a:ea typeface="Times New Roman"/>
                    <a:cs typeface="Times New Roman"/>
                  </a:defRPr>
                </a:pPr>
                <a:endParaRPr lang="ru-RU"/>
              </a:p>
            </c:txPr>
            <c:dLblPos val="t"/>
            <c:showVal val="1"/>
          </c:dLbls>
          <c:cat>
            <c:strRef>
              <c:f>образ!$O$3:$S$3</c:f>
              <c:strCache>
                <c:ptCount val="5"/>
                <c:pt idx="0">
                  <c:v>2013 год </c:v>
                </c:pt>
                <c:pt idx="1">
                  <c:v>2014 год оценка</c:v>
                </c:pt>
                <c:pt idx="2">
                  <c:v>2015 год прогноз</c:v>
                </c:pt>
                <c:pt idx="3">
                  <c:v>2016 год прогноз</c:v>
                </c:pt>
                <c:pt idx="4">
                  <c:v>2017 год прогноз</c:v>
                </c:pt>
              </c:strCache>
            </c:strRef>
          </c:cat>
          <c:val>
            <c:numRef>
              <c:f>образ!$O$5:$S$5</c:f>
              <c:numCache>
                <c:formatCode>0</c:formatCode>
                <c:ptCount val="5"/>
                <c:pt idx="0">
                  <c:v>564.79999999999995</c:v>
                </c:pt>
                <c:pt idx="1">
                  <c:v>563.4</c:v>
                </c:pt>
                <c:pt idx="2">
                  <c:v>563.9</c:v>
                </c:pt>
                <c:pt idx="3">
                  <c:v>568.29999999999995</c:v>
                </c:pt>
                <c:pt idx="4">
                  <c:v>631</c:v>
                </c:pt>
              </c:numCache>
            </c:numRef>
          </c:val>
        </c:ser>
        <c:dLbls>
          <c:showVal val="1"/>
        </c:dLbls>
        <c:marker val="1"/>
        <c:axId val="145251328"/>
        <c:axId val="145314560"/>
      </c:lineChart>
      <c:catAx>
        <c:axId val="145251328"/>
        <c:scaling>
          <c:orientation val="minMax"/>
        </c:scaling>
        <c:axPos val="b"/>
        <c:numFmt formatCode="General" sourceLinked="1"/>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45314560"/>
        <c:crosses val="autoZero"/>
        <c:auto val="1"/>
        <c:lblAlgn val="ctr"/>
        <c:lblOffset val="100"/>
      </c:catAx>
      <c:valAx>
        <c:axId val="145314560"/>
        <c:scaling>
          <c:orientation val="minMax"/>
          <c:min val="450"/>
        </c:scaling>
        <c:axPos val="l"/>
        <c:numFmt formatCode="General" sourceLinked="1"/>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45251328"/>
        <c:crosses val="autoZero"/>
        <c:crossBetween val="between"/>
      </c:valAx>
    </c:plotArea>
    <c:legend>
      <c:legendPos val="b"/>
      <c:layout/>
      <c:txPr>
        <a:bodyPr/>
        <a:lstStyle/>
        <a:p>
          <a:pPr>
            <a:defRPr sz="1000" b="0" i="0" u="none" strike="noStrike" baseline="0">
              <a:solidFill>
                <a:srgbClr val="000000"/>
              </a:solidFill>
              <a:latin typeface="Times New Roman"/>
              <a:ea typeface="Times New Roman"/>
              <a:cs typeface="Times New Roman"/>
            </a:defRPr>
          </a:pPr>
          <a:endParaRPr lang="ru-RU"/>
        </a:p>
      </c:txPr>
    </c:legend>
    <c:plotVisOnly val="1"/>
    <c:dispBlanksAs val="gap"/>
  </c:chart>
  <c:spPr>
    <a:ln>
      <a:solidFill>
        <a:schemeClr val="bg1"/>
      </a:solidFill>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00" b="1" i="0" u="none" strike="noStrike" baseline="0">
                <a:solidFill>
                  <a:srgbClr val="000000"/>
                </a:solidFill>
                <a:latin typeface="Times New Roman"/>
                <a:ea typeface="Times New Roman"/>
                <a:cs typeface="Times New Roman"/>
              </a:defRPr>
            </a:pPr>
            <a:r>
              <a:rPr lang="ru-RU" sz="1200"/>
              <a:t>Объекты физической культуры и спорта</a:t>
            </a:r>
          </a:p>
        </c:rich>
      </c:tx>
      <c:layout/>
    </c:title>
    <c:plotArea>
      <c:layout/>
      <c:barChart>
        <c:barDir val="col"/>
        <c:grouping val="clustered"/>
        <c:ser>
          <c:idx val="0"/>
          <c:order val="0"/>
          <c:tx>
            <c:strRef>
              <c:f>'Спорт (2)'!$A$3</c:f>
              <c:strCache>
                <c:ptCount val="1"/>
                <c:pt idx="0">
                  <c:v>Спортивные объекты, единиц</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txPr>
              <a:bodyPr/>
              <a:lstStyle/>
              <a:p>
                <a:pPr>
                  <a:defRPr sz="1100" b="1" i="0" u="none" strike="noStrike" baseline="0">
                    <a:solidFill>
                      <a:srgbClr val="000000"/>
                    </a:solidFill>
                    <a:latin typeface="Times New Roman"/>
                    <a:ea typeface="Times New Roman"/>
                    <a:cs typeface="Times New Roman"/>
                  </a:defRPr>
                </a:pPr>
                <a:endParaRPr lang="ru-RU"/>
              </a:p>
            </c:txPr>
            <c:dLblPos val="ctr"/>
            <c:showVal val="1"/>
          </c:dLbls>
          <c:cat>
            <c:strRef>
              <c:f>'Спорт (2)'!$B$2:$G$2</c:f>
              <c:strCache>
                <c:ptCount val="6"/>
                <c:pt idx="0">
                  <c:v>2012 год </c:v>
                </c:pt>
                <c:pt idx="1">
                  <c:v>2013 год </c:v>
                </c:pt>
                <c:pt idx="2">
                  <c:v>2014 год оценка</c:v>
                </c:pt>
                <c:pt idx="3">
                  <c:v>2015 год прогноз</c:v>
                </c:pt>
                <c:pt idx="4">
                  <c:v>2016 год прогноз</c:v>
                </c:pt>
                <c:pt idx="5">
                  <c:v>2017 год прогноз</c:v>
                </c:pt>
              </c:strCache>
            </c:strRef>
          </c:cat>
          <c:val>
            <c:numRef>
              <c:f>'Спорт (2)'!$B$3:$G$3</c:f>
              <c:numCache>
                <c:formatCode>General</c:formatCode>
                <c:ptCount val="6"/>
                <c:pt idx="0">
                  <c:v>88</c:v>
                </c:pt>
                <c:pt idx="1">
                  <c:v>97</c:v>
                </c:pt>
                <c:pt idx="2">
                  <c:v>101</c:v>
                </c:pt>
                <c:pt idx="3">
                  <c:v>102</c:v>
                </c:pt>
                <c:pt idx="4">
                  <c:v>104</c:v>
                </c:pt>
                <c:pt idx="5">
                  <c:v>104</c:v>
                </c:pt>
              </c:numCache>
            </c:numRef>
          </c:val>
        </c:ser>
        <c:dLbls>
          <c:showVal val="1"/>
        </c:dLbls>
        <c:axId val="145411072"/>
        <c:axId val="145416960"/>
      </c:barChart>
      <c:lineChart>
        <c:grouping val="standard"/>
        <c:ser>
          <c:idx val="1"/>
          <c:order val="1"/>
          <c:tx>
            <c:strRef>
              <c:f>'Спорт (2)'!$A$4</c:f>
              <c:strCache>
                <c:ptCount val="1"/>
                <c:pt idx="0">
                  <c:v>Пропускная способность</c:v>
                </c:pt>
              </c:strCache>
            </c:strRef>
          </c:tx>
          <c:spPr>
            <a:ln w="25400" cap="flat" cmpd="sng" algn="ctr">
              <a:solidFill>
                <a:schemeClr val="accent2">
                  <a:shade val="50000"/>
                </a:schemeClr>
              </a:solidFill>
              <a:prstDash val="solid"/>
            </a:ln>
            <a:effectLst/>
          </c:spPr>
          <c:marker>
            <c:spPr>
              <a:solidFill>
                <a:schemeClr val="accent2"/>
              </a:solidFill>
              <a:ln w="25400" cap="flat" cmpd="sng" algn="ctr">
                <a:solidFill>
                  <a:schemeClr val="accent2">
                    <a:shade val="50000"/>
                  </a:schemeClr>
                </a:solidFill>
                <a:prstDash val="solid"/>
              </a:ln>
              <a:effectLst/>
            </c:spPr>
          </c:marker>
          <c:dLbls>
            <c:txPr>
              <a:bodyPr/>
              <a:lstStyle/>
              <a:p>
                <a:pPr>
                  <a:defRPr sz="1000" b="1" i="0" u="none" strike="noStrike" baseline="0">
                    <a:solidFill>
                      <a:srgbClr val="000000"/>
                    </a:solidFill>
                    <a:latin typeface="Times New Roman"/>
                    <a:ea typeface="Times New Roman"/>
                    <a:cs typeface="Times New Roman"/>
                  </a:defRPr>
                </a:pPr>
                <a:endParaRPr lang="ru-RU"/>
              </a:p>
            </c:txPr>
            <c:dLblPos val="t"/>
            <c:showVal val="1"/>
          </c:dLbls>
          <c:cat>
            <c:strRef>
              <c:f>'Спорт (2)'!$B$2:$G$2</c:f>
              <c:strCache>
                <c:ptCount val="6"/>
                <c:pt idx="0">
                  <c:v>2012 год </c:v>
                </c:pt>
                <c:pt idx="1">
                  <c:v>2013 год </c:v>
                </c:pt>
                <c:pt idx="2">
                  <c:v>2014 год оценка</c:v>
                </c:pt>
                <c:pt idx="3">
                  <c:v>2015 год прогноз</c:v>
                </c:pt>
                <c:pt idx="4">
                  <c:v>2016 год прогноз</c:v>
                </c:pt>
                <c:pt idx="5">
                  <c:v>2017 год прогноз</c:v>
                </c:pt>
              </c:strCache>
            </c:strRef>
          </c:cat>
          <c:val>
            <c:numRef>
              <c:f>'Спорт (2)'!$B$4:$G$4</c:f>
              <c:numCache>
                <c:formatCode>General</c:formatCode>
                <c:ptCount val="6"/>
                <c:pt idx="0">
                  <c:v>2033</c:v>
                </c:pt>
                <c:pt idx="1">
                  <c:v>2168</c:v>
                </c:pt>
                <c:pt idx="2">
                  <c:v>2192</c:v>
                </c:pt>
                <c:pt idx="3">
                  <c:v>2200</c:v>
                </c:pt>
                <c:pt idx="4">
                  <c:v>2263</c:v>
                </c:pt>
                <c:pt idx="5">
                  <c:v>2263</c:v>
                </c:pt>
              </c:numCache>
            </c:numRef>
          </c:val>
        </c:ser>
        <c:dLbls>
          <c:showVal val="1"/>
        </c:dLbls>
        <c:marker val="1"/>
        <c:axId val="145386880"/>
        <c:axId val="145409152"/>
      </c:lineChart>
      <c:catAx>
        <c:axId val="145386880"/>
        <c:scaling>
          <c:orientation val="minMax"/>
        </c:scaling>
        <c:axPos val="b"/>
        <c:numFmt formatCode="General" sourceLinked="1"/>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45409152"/>
        <c:crosses val="autoZero"/>
        <c:auto val="1"/>
        <c:lblAlgn val="ctr"/>
        <c:lblOffset val="100"/>
      </c:catAx>
      <c:valAx>
        <c:axId val="145409152"/>
        <c:scaling>
          <c:orientation val="minMax"/>
          <c:min val="1550"/>
        </c:scaling>
        <c:axPos val="l"/>
        <c:title>
          <c:tx>
            <c:rich>
              <a:bodyPr rot="-5400000" vert="horz"/>
              <a:lstStyle/>
              <a:p>
                <a:pPr>
                  <a:defRPr/>
                </a:pPr>
                <a:r>
                  <a:rPr lang="ru-RU"/>
                  <a:t>Человек</a:t>
                </a:r>
              </a:p>
            </c:rich>
          </c:tx>
          <c:layout/>
        </c:title>
        <c:numFmt formatCode="General" sourceLinked="1"/>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45386880"/>
        <c:crosses val="autoZero"/>
        <c:crossBetween val="between"/>
      </c:valAx>
      <c:catAx>
        <c:axId val="145411072"/>
        <c:scaling>
          <c:orientation val="minMax"/>
        </c:scaling>
        <c:delete val="1"/>
        <c:axPos val="b"/>
        <c:tickLblPos val="none"/>
        <c:crossAx val="145416960"/>
        <c:crosses val="autoZero"/>
        <c:auto val="1"/>
        <c:lblAlgn val="ctr"/>
        <c:lblOffset val="100"/>
      </c:catAx>
      <c:valAx>
        <c:axId val="145416960"/>
        <c:scaling>
          <c:orientation val="minMax"/>
          <c:min val="65"/>
        </c:scaling>
        <c:axPos val="r"/>
        <c:numFmt formatCode="General" sourceLinked="1"/>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45411072"/>
        <c:crosses val="max"/>
        <c:crossBetween val="between"/>
      </c:valAx>
    </c:plotArea>
    <c:legend>
      <c:legendPos val="b"/>
      <c:layout>
        <c:manualLayout>
          <c:xMode val="edge"/>
          <c:yMode val="edge"/>
          <c:x val="0.11203438605944085"/>
          <c:y val="0.86449117910894069"/>
          <c:w val="0.7759309013278477"/>
          <c:h val="8.1454533373201868E-2"/>
        </c:manualLayout>
      </c:layout>
      <c:txPr>
        <a:bodyPr/>
        <a:lstStyle/>
        <a:p>
          <a:pPr>
            <a:defRPr sz="1000" b="0" i="0" u="none" strike="noStrike" baseline="0">
              <a:solidFill>
                <a:srgbClr val="000000"/>
              </a:solidFill>
              <a:latin typeface="Times New Roman"/>
              <a:ea typeface="Times New Roman"/>
              <a:cs typeface="Times New Roman"/>
            </a:defRPr>
          </a:pPr>
          <a:endParaRPr lang="ru-RU"/>
        </a:p>
      </c:txPr>
    </c:legend>
    <c:plotVisOnly val="1"/>
    <c:dispBlanksAs val="gap"/>
  </c:chart>
  <c:spPr>
    <a:ln>
      <a:noFill/>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100"/>
            </a:pPr>
            <a:r>
              <a:rPr lang="ru-RU" sz="1100"/>
              <a:t>Структура поступления доходов в консолидированный бюджет Белоярского района в оценке 2014 года </a:t>
            </a:r>
          </a:p>
        </c:rich>
      </c:tx>
      <c:layout>
        <c:manualLayout>
          <c:xMode val="edge"/>
          <c:yMode val="edge"/>
          <c:x val="0.10788146095741623"/>
          <c:y val="0"/>
        </c:manualLayout>
      </c:layout>
    </c:title>
    <c:view3D>
      <c:rotX val="30"/>
      <c:perspective val="30"/>
    </c:view3D>
    <c:plotArea>
      <c:layout>
        <c:manualLayout>
          <c:layoutTarget val="inner"/>
          <c:xMode val="edge"/>
          <c:yMode val="edge"/>
          <c:x val="0.15539617486338841"/>
          <c:y val="0.19096667861572247"/>
          <c:w val="0.72472677595628421"/>
          <c:h val="0.67206978248598281"/>
        </c:manualLayout>
      </c:layout>
      <c:pie3DChart>
        <c:varyColors val="1"/>
        <c:ser>
          <c:idx val="0"/>
          <c:order val="0"/>
          <c:explosion val="3"/>
          <c:dLbls>
            <c:dLbl>
              <c:idx val="0"/>
              <c:delete val="1"/>
            </c:dLbl>
            <c:dLbl>
              <c:idx val="1"/>
              <c:layout/>
              <c:tx>
                <c:rich>
                  <a:bodyPr/>
                  <a:lstStyle/>
                  <a:p>
                    <a:r>
                      <a:rPr lang="ru-RU" sz="1000"/>
                      <a:t>Налоговые</a:t>
                    </a:r>
                  </a:p>
                  <a:p>
                    <a:r>
                      <a:rPr lang="ru-RU" sz="1000"/>
                      <a:t> доходы; 25%</a:t>
                    </a:r>
                    <a:endParaRPr lang="ru-RU"/>
                  </a:p>
                </c:rich>
              </c:tx>
              <c:dLblPos val="outEnd"/>
              <c:showCatName val="1"/>
              <c:showPercent val="1"/>
            </c:dLbl>
            <c:dLbl>
              <c:idx val="2"/>
              <c:layout>
                <c:manualLayout>
                  <c:x val="0"/>
                  <c:y val="-5.0224212882115073E-2"/>
                </c:manualLayout>
              </c:layout>
              <c:tx>
                <c:rich>
                  <a:bodyPr/>
                  <a:lstStyle/>
                  <a:p>
                    <a:r>
                      <a:rPr lang="ru-RU" sz="1000"/>
                      <a:t>Неналоговые</a:t>
                    </a:r>
                  </a:p>
                  <a:p>
                    <a:r>
                      <a:rPr lang="ru-RU" sz="1000"/>
                      <a:t> доходы; 7%</a:t>
                    </a:r>
                    <a:endParaRPr lang="ru-RU"/>
                  </a:p>
                </c:rich>
              </c:tx>
              <c:dLblPos val="bestFit"/>
              <c:showCatName val="1"/>
              <c:showPercent val="1"/>
            </c:dLbl>
            <c:dLbl>
              <c:idx val="3"/>
              <c:layout/>
              <c:tx>
                <c:rich>
                  <a:bodyPr/>
                  <a:lstStyle/>
                  <a:p>
                    <a:r>
                      <a:rPr lang="ru-RU" sz="1000"/>
                      <a:t>Безвозмездные </a:t>
                    </a:r>
                  </a:p>
                  <a:p>
                    <a:r>
                      <a:rPr lang="ru-RU" sz="1000"/>
                      <a:t>поступления; 68%</a:t>
                    </a:r>
                    <a:endParaRPr lang="ru-RU"/>
                  </a:p>
                </c:rich>
              </c:tx>
              <c:dLblPos val="outEnd"/>
              <c:showCatName val="1"/>
              <c:showPercent val="1"/>
            </c:dLbl>
            <c:txPr>
              <a:bodyPr/>
              <a:lstStyle/>
              <a:p>
                <a:pPr>
                  <a:defRPr sz="1000" b="1"/>
                </a:pPr>
                <a:endParaRPr lang="ru-RU"/>
              </a:p>
            </c:txPr>
            <c:showVal val="1"/>
            <c:showCatName val="1"/>
            <c:showLeaderLines val="1"/>
          </c:dLbls>
          <c:cat>
            <c:strRef>
              <c:f>Лист1!$A$24:$A$27</c:f>
              <c:strCache>
                <c:ptCount val="4"/>
                <c:pt idx="1">
                  <c:v>Налоговые доходы</c:v>
                </c:pt>
                <c:pt idx="2">
                  <c:v>Неналоговые доходы</c:v>
                </c:pt>
                <c:pt idx="3">
                  <c:v>Безвозмездные поступления</c:v>
                </c:pt>
              </c:strCache>
            </c:strRef>
          </c:cat>
          <c:val>
            <c:numRef>
              <c:f>Лист1!$B$24:$B$27</c:f>
              <c:numCache>
                <c:formatCode>0.000</c:formatCode>
                <c:ptCount val="4"/>
                <c:pt idx="1">
                  <c:v>751.8</c:v>
                </c:pt>
                <c:pt idx="2">
                  <c:v>223.6</c:v>
                </c:pt>
                <c:pt idx="3">
                  <c:v>2037.1</c:v>
                </c:pt>
              </c:numCache>
            </c:numRef>
          </c:val>
        </c:ser>
        <c:dLbls>
          <c:showCatName val="1"/>
        </c:dLbls>
      </c:pie3DChart>
      <c:spPr>
        <a:noFill/>
        <a:ln w="25400">
          <a:noFill/>
        </a:ln>
      </c:spPr>
    </c:plotArea>
    <c:plotVisOnly val="1"/>
    <c:dispBlanksAs val="zero"/>
  </c:chart>
  <c:spPr>
    <a:ln>
      <a:noFill/>
    </a:ln>
  </c:spPr>
  <c:txPr>
    <a:bodyPr/>
    <a:lstStyle/>
    <a:p>
      <a:pPr>
        <a:defRPr sz="1000">
          <a:latin typeface="Times New Roman" pitchFamily="18" charset="0"/>
          <a:cs typeface="Times New Roman" pitchFamily="18" charset="0"/>
        </a:defRPr>
      </a:pPr>
      <a:endParaRPr lang="ru-RU"/>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100" b="1" i="0" u="none" strike="noStrike" baseline="0">
                <a:solidFill>
                  <a:srgbClr val="000000"/>
                </a:solidFill>
                <a:latin typeface="Times New Roman"/>
                <a:ea typeface="Times New Roman"/>
                <a:cs typeface="Times New Roman"/>
              </a:defRPr>
            </a:pPr>
            <a:r>
              <a:rPr lang="ru-RU" sz="1100"/>
              <a:t>Структура расходов консолидированного бюджета Белоярского</a:t>
            </a:r>
            <a:r>
              <a:rPr lang="ru-RU" sz="1100" baseline="0"/>
              <a:t> района </a:t>
            </a:r>
            <a:r>
              <a:rPr lang="ru-RU" sz="1100"/>
              <a:t>в 2013 году</a:t>
            </a:r>
          </a:p>
        </c:rich>
      </c:tx>
      <c:layout/>
    </c:title>
    <c:view3D>
      <c:rotX val="30"/>
      <c:perspective val="30"/>
    </c:view3D>
    <c:plotArea>
      <c:layout>
        <c:manualLayout>
          <c:layoutTarget val="inner"/>
          <c:xMode val="edge"/>
          <c:yMode val="edge"/>
          <c:x val="0.24109292710960151"/>
          <c:y val="0.35488274492004812"/>
          <c:w val="0.5142142281234453"/>
          <c:h val="0.47222202487846932"/>
        </c:manualLayout>
      </c:layout>
      <c:pie3DChart>
        <c:varyColors val="1"/>
        <c:ser>
          <c:idx val="0"/>
          <c:order val="0"/>
          <c:explosion val="11"/>
          <c:dPt>
            <c:idx val="4"/>
            <c:spPr>
              <a:solidFill>
                <a:srgbClr val="00B050"/>
              </a:solidFill>
            </c:spPr>
          </c:dPt>
          <c:dLbls>
            <c:dLbl>
              <c:idx val="0"/>
              <c:layout>
                <c:manualLayout>
                  <c:x val="-5.1244574820304326E-2"/>
                  <c:y val="-3.4854064294594755E-2"/>
                </c:manualLayout>
              </c:layout>
              <c:dLblPos val="bestFit"/>
              <c:showCatName val="1"/>
              <c:showPercent val="1"/>
            </c:dLbl>
            <c:dLbl>
              <c:idx val="1"/>
              <c:layout>
                <c:manualLayout>
                  <c:x val="9.6819858302025968E-2"/>
                  <c:y val="-3.9814233747097402E-2"/>
                </c:manualLayout>
              </c:layout>
              <c:dLblPos val="bestFit"/>
              <c:showCatName val="1"/>
              <c:showPercent val="1"/>
            </c:dLbl>
            <c:dLbl>
              <c:idx val="2"/>
              <c:layout>
                <c:manualLayout>
                  <c:x val="2.447926852280756E-2"/>
                  <c:y val="-4.9192798268637594E-2"/>
                </c:manualLayout>
              </c:layout>
              <c:dLblPos val="bestFit"/>
              <c:showCatName val="1"/>
              <c:showPercent val="1"/>
            </c:dLbl>
            <c:dLbl>
              <c:idx val="3"/>
              <c:layout>
                <c:manualLayout>
                  <c:x val="0.13366373320981917"/>
                  <c:y val="-3.0314105473657912E-2"/>
                </c:manualLayout>
              </c:layout>
              <c:dLblPos val="bestFit"/>
              <c:showCatName val="1"/>
              <c:showPercent val="1"/>
            </c:dLbl>
            <c:dLbl>
              <c:idx val="4"/>
              <c:layout>
                <c:manualLayout>
                  <c:x val="-3.0456658603949006E-2"/>
                  <c:y val="6.1947782842934104E-2"/>
                </c:manualLayout>
              </c:layout>
              <c:dLblPos val="bestFit"/>
              <c:showCatName val="1"/>
              <c:showPercent val="1"/>
            </c:dLbl>
            <c:dLbl>
              <c:idx val="5"/>
              <c:layout>
                <c:manualLayout>
                  <c:x val="-3.3697356457893811E-2"/>
                  <c:y val="4.1911340029864685E-2"/>
                </c:manualLayout>
              </c:layout>
              <c:dLblPos val="bestFit"/>
              <c:showCatName val="1"/>
              <c:showPercent val="1"/>
            </c:dLbl>
            <c:dLbl>
              <c:idx val="6"/>
              <c:layout>
                <c:manualLayout>
                  <c:x val="-0.17065745458288445"/>
                  <c:y val="-5.4846828356981833E-2"/>
                </c:manualLayout>
              </c:layout>
              <c:showCatName val="1"/>
              <c:showPercent val="1"/>
            </c:dLbl>
            <c:dLbl>
              <c:idx val="7"/>
              <c:layout>
                <c:manualLayout>
                  <c:x val="-4.4088140943166432E-2"/>
                  <c:y val="-5.3187035831047981E-2"/>
                </c:manualLayout>
              </c:layout>
              <c:dLblPos val="bestFit"/>
              <c:showCatName val="1"/>
              <c:showPercent val="1"/>
            </c:dLbl>
            <c:dLbl>
              <c:idx val="8"/>
              <c:layout>
                <c:manualLayout>
                  <c:x val="-2.0156794126224417E-3"/>
                  <c:y val="-4.8734171386471431E-2"/>
                </c:manualLayout>
              </c:layout>
              <c:showCatName val="1"/>
              <c:showPercent val="1"/>
            </c:dLbl>
            <c:dLbl>
              <c:idx val="9"/>
              <c:layout>
                <c:manualLayout>
                  <c:x val="-1.1257798717783245E-2"/>
                  <c:y val="-8.8702391824847567E-3"/>
                </c:manualLayout>
              </c:layout>
              <c:tx>
                <c:rich>
                  <a:bodyPr/>
                  <a:lstStyle/>
                  <a:p>
                    <a:r>
                      <a:rPr lang="en-US"/>
                      <a:t>
</a:t>
                    </a:r>
                  </a:p>
                </c:rich>
              </c:tx>
              <c:dLblPos val="bestFit"/>
              <c:showCatName val="1"/>
              <c:showPercent val="1"/>
            </c:dLbl>
            <c:txPr>
              <a:bodyPr/>
              <a:lstStyle/>
              <a:p>
                <a:pPr>
                  <a:defRPr sz="1000" b="0" i="0" u="none" strike="noStrike" baseline="0">
                    <a:solidFill>
                      <a:srgbClr val="000000"/>
                    </a:solidFill>
                    <a:latin typeface="Times New Roman"/>
                    <a:ea typeface="Times New Roman"/>
                    <a:cs typeface="Times New Roman"/>
                  </a:defRPr>
                </a:pPr>
                <a:endParaRPr lang="ru-RU"/>
              </a:p>
            </c:txPr>
            <c:showCatName val="1"/>
            <c:showPercent val="1"/>
            <c:showLeaderLines val="1"/>
          </c:dLbls>
          <c:cat>
            <c:strRef>
              <c:f>Лист1!$A$21:$A$30</c:f>
              <c:strCache>
                <c:ptCount val="9"/>
                <c:pt idx="0">
                  <c:v>общегосударственные вопросы</c:v>
                </c:pt>
                <c:pt idx="1">
                  <c:v>прочие</c:v>
                </c:pt>
                <c:pt idx="2">
                  <c:v>жилищно-коммунальное хозяйство</c:v>
                </c:pt>
                <c:pt idx="3">
                  <c:v>национальная экономика</c:v>
                </c:pt>
                <c:pt idx="4">
                  <c:v>образование</c:v>
                </c:pt>
                <c:pt idx="5">
                  <c:v>культура, кинематография</c:v>
                </c:pt>
                <c:pt idx="6">
                  <c:v>здравоохранение</c:v>
                </c:pt>
                <c:pt idx="7">
                  <c:v>физическая культура и спорт</c:v>
                </c:pt>
                <c:pt idx="8">
                  <c:v>социальная политика</c:v>
                </c:pt>
              </c:strCache>
            </c:strRef>
          </c:cat>
          <c:val>
            <c:numRef>
              <c:f>Лист1!$B$21:$B$30</c:f>
              <c:numCache>
                <c:formatCode>General</c:formatCode>
                <c:ptCount val="10"/>
                <c:pt idx="0" formatCode="#,##0.0">
                  <c:v>325.5</c:v>
                </c:pt>
                <c:pt idx="1">
                  <c:v>78.7</c:v>
                </c:pt>
                <c:pt idx="2">
                  <c:v>1230.4000000000001</c:v>
                </c:pt>
                <c:pt idx="3">
                  <c:v>297.3</c:v>
                </c:pt>
                <c:pt idx="4">
                  <c:v>1532.4</c:v>
                </c:pt>
                <c:pt idx="5">
                  <c:v>258.2</c:v>
                </c:pt>
                <c:pt idx="6">
                  <c:v>125.5</c:v>
                </c:pt>
                <c:pt idx="7">
                  <c:v>184.7</c:v>
                </c:pt>
                <c:pt idx="8">
                  <c:v>136.5</c:v>
                </c:pt>
              </c:numCache>
            </c:numRef>
          </c:val>
        </c:ser>
        <c:dLbls/>
      </c:pie3DChart>
      <c:spPr>
        <a:noFill/>
        <a:ln w="25400">
          <a:noFill/>
        </a:ln>
      </c:spPr>
    </c:plotArea>
    <c:plotVisOnly val="1"/>
    <c:dispBlanksAs val="zero"/>
  </c:chart>
  <c:spPr>
    <a:ln>
      <a:noFill/>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00" b="1" i="0" u="none" strike="noStrike" baseline="0">
                <a:solidFill>
                  <a:srgbClr val="000000"/>
                </a:solidFill>
                <a:latin typeface="Times New Roman"/>
                <a:ea typeface="Times New Roman"/>
                <a:cs typeface="Times New Roman"/>
              </a:defRPr>
            </a:pPr>
            <a:r>
              <a:rPr lang="ru-RU"/>
              <a:t>Динамика объемов добычи нефти на территории Белоярского района</a:t>
            </a:r>
          </a:p>
        </c:rich>
      </c:tx>
      <c:layout>
        <c:manualLayout>
          <c:xMode val="edge"/>
          <c:yMode val="edge"/>
          <c:x val="0.16825414064621241"/>
          <c:y val="3.7642807211912752E-2"/>
        </c:manualLayout>
      </c:layout>
      <c:spPr>
        <a:noFill/>
        <a:ln w="25400">
          <a:noFill/>
        </a:ln>
      </c:spPr>
    </c:title>
    <c:plotArea>
      <c:layout>
        <c:manualLayout>
          <c:layoutTarget val="inner"/>
          <c:xMode val="edge"/>
          <c:yMode val="edge"/>
          <c:x val="0.1005402812088361"/>
          <c:y val="0.27108157723059195"/>
          <c:w val="0.79342370284954367"/>
          <c:h val="0.44833379495904857"/>
        </c:manualLayout>
      </c:layout>
      <c:barChart>
        <c:barDir val="col"/>
        <c:grouping val="clustered"/>
        <c:ser>
          <c:idx val="1"/>
          <c:order val="0"/>
          <c:tx>
            <c:strRef>
              <c:f>'Белоярский р-н'!$A$25</c:f>
              <c:strCache>
                <c:ptCount val="1"/>
                <c:pt idx="0">
                  <c:v>Добыча нефти, тыс. тонн</c:v>
                </c:pt>
              </c:strCache>
            </c:strRef>
          </c:tx>
          <c:spPr>
            <a:gradFill>
              <a:gsLst>
                <a:gs pos="0">
                  <a:srgbClr val="F79646">
                    <a:lumMod val="40000"/>
                    <a:lumOff val="60000"/>
                  </a:srgbClr>
                </a:gs>
                <a:gs pos="50000">
                  <a:srgbClr val="F79646">
                    <a:lumMod val="75000"/>
                  </a:srgbClr>
                </a:gs>
                <a:gs pos="100000">
                  <a:schemeClr val="accent6">
                    <a:lumMod val="75000"/>
                  </a:schemeClr>
                </a:gs>
              </a:gsLst>
              <a:lin ang="2700000" scaled="1"/>
            </a:gradFill>
            <a:ln w="12700">
              <a:solidFill>
                <a:srgbClr val="000000"/>
              </a:solidFill>
              <a:prstDash val="solid"/>
            </a:ln>
          </c:spPr>
          <c:dLbls>
            <c:dLbl>
              <c:idx val="0"/>
              <c:layout>
                <c:manualLayout>
                  <c:x val="-9.2578025764098013E-4"/>
                  <c:y val="1.1288102246448493E-2"/>
                </c:manualLayout>
              </c:layout>
              <c:dLblPos val="outEnd"/>
              <c:showVal val="1"/>
            </c:dLbl>
            <c:dLbl>
              <c:idx val="1"/>
              <c:layout>
                <c:manualLayout>
                  <c:x val="-2.7776877004259434E-3"/>
                  <c:y val="1.0283293073150738E-2"/>
                </c:manualLayout>
              </c:layout>
              <c:dLblPos val="outEnd"/>
              <c:showVal val="1"/>
            </c:dLbl>
            <c:dLbl>
              <c:idx val="2"/>
              <c:layout>
                <c:manualLayout>
                  <c:x val="1.3231700013020169E-4"/>
                  <c:y val="1.0743008336015701E-2"/>
                </c:manualLayout>
              </c:layout>
              <c:dLblPos val="outEnd"/>
              <c:showVal val="1"/>
            </c:dLbl>
            <c:dLbl>
              <c:idx val="3"/>
              <c:layout>
                <c:manualLayout>
                  <c:x val="-6.6123012005398591E-4"/>
                  <c:y val="1.0571749269918105E-2"/>
                </c:manualLayout>
              </c:layout>
              <c:dLblPos val="outEnd"/>
              <c:showVal val="1"/>
            </c:dLbl>
            <c:dLbl>
              <c:idx val="4"/>
              <c:layout>
                <c:manualLayout>
                  <c:x val="-9.2583351505861505E-4"/>
                  <c:y val="1.2247578110877877E-2"/>
                </c:manualLayout>
              </c:layout>
              <c:dLblPos val="outEnd"/>
              <c:showVal val="1"/>
            </c:dLbl>
            <c:dLbl>
              <c:idx val="5"/>
              <c:layout>
                <c:manualLayout>
                  <c:x val="3.968671377171617E-4"/>
                  <c:y val="1.06888208549911E-2"/>
                </c:manualLayout>
              </c:layout>
              <c:dLblPos val="outEnd"/>
              <c:showVal val="1"/>
            </c:dLbl>
            <c:spPr>
              <a:noFill/>
              <a:ln w="25400">
                <a:noFill/>
              </a:ln>
            </c:spPr>
            <c:txPr>
              <a:bodyPr/>
              <a:lstStyle/>
              <a:p>
                <a:pPr>
                  <a:defRPr sz="1100" b="1" i="0" u="none" strike="noStrike" baseline="0">
                    <a:solidFill>
                      <a:srgbClr val="000000"/>
                    </a:solidFill>
                    <a:latin typeface="Times New Roman"/>
                    <a:ea typeface="Times New Roman"/>
                    <a:cs typeface="Times New Roman"/>
                  </a:defRPr>
                </a:pPr>
                <a:endParaRPr lang="ru-RU"/>
              </a:p>
            </c:txPr>
            <c:showVal val="1"/>
          </c:dLbls>
          <c:cat>
            <c:strRef>
              <c:f>'Белоярский р-н'!$B$24:$F$24</c:f>
              <c:strCache>
                <c:ptCount val="5"/>
                <c:pt idx="0">
                  <c:v>2013 год    отчет</c:v>
                </c:pt>
                <c:pt idx="1">
                  <c:v>2014 год оценка</c:v>
                </c:pt>
                <c:pt idx="2">
                  <c:v>2015 год прогноз</c:v>
                </c:pt>
                <c:pt idx="3">
                  <c:v>2016 год прогноз</c:v>
                </c:pt>
                <c:pt idx="4">
                  <c:v>2017 год прогноз</c:v>
                </c:pt>
              </c:strCache>
            </c:strRef>
          </c:cat>
          <c:val>
            <c:numRef>
              <c:f>'Белоярский р-н'!$B$25:$F$25</c:f>
              <c:numCache>
                <c:formatCode>0.0</c:formatCode>
                <c:ptCount val="5"/>
                <c:pt idx="0">
                  <c:v>938.8</c:v>
                </c:pt>
                <c:pt idx="1">
                  <c:v>1055</c:v>
                </c:pt>
                <c:pt idx="2">
                  <c:v>1791.6</c:v>
                </c:pt>
                <c:pt idx="3">
                  <c:v>2310</c:v>
                </c:pt>
                <c:pt idx="4">
                  <c:v>3053</c:v>
                </c:pt>
              </c:numCache>
            </c:numRef>
          </c:val>
        </c:ser>
        <c:dLbls/>
        <c:gapWidth val="70"/>
        <c:axId val="142983168"/>
        <c:axId val="142984704"/>
      </c:barChart>
      <c:lineChart>
        <c:grouping val="standard"/>
        <c:ser>
          <c:idx val="0"/>
          <c:order val="1"/>
          <c:tx>
            <c:strRef>
              <c:f>'Белоярский р-н'!$A$26</c:f>
              <c:strCache>
                <c:ptCount val="1"/>
                <c:pt idx="0">
                  <c:v>Темп роста объема добычи нефти, %</c:v>
                </c:pt>
              </c:strCache>
            </c:strRef>
          </c:tx>
          <c:spPr>
            <a:ln w="25400">
              <a:solidFill>
                <a:schemeClr val="accent1">
                  <a:lumMod val="75000"/>
                </a:schemeClr>
              </a:solidFill>
              <a:prstDash val="solid"/>
            </a:ln>
          </c:spPr>
          <c:marker>
            <c:symbol val="triangle"/>
            <c:size val="5"/>
            <c:spPr>
              <a:solidFill>
                <a:schemeClr val="tx2">
                  <a:lumMod val="75000"/>
                </a:schemeClr>
              </a:solidFill>
              <a:ln>
                <a:solidFill>
                  <a:schemeClr val="tx2">
                    <a:lumMod val="60000"/>
                    <a:lumOff val="40000"/>
                  </a:schemeClr>
                </a:solidFill>
                <a:prstDash val="solid"/>
              </a:ln>
            </c:spPr>
          </c:marker>
          <c:dLbls>
            <c:dLbl>
              <c:idx val="0"/>
              <c:layout>
                <c:manualLayout>
                  <c:x val="-4.2328042328042333E-2"/>
                  <c:y val="-4.4444444444444502E-2"/>
                </c:manualLayout>
              </c:layout>
              <c:tx>
                <c:rich>
                  <a:bodyPr/>
                  <a:lstStyle/>
                  <a:p>
                    <a:r>
                      <a:rPr lang="en-US" sz="1100">
                        <a:latin typeface="Times New Roman" pitchFamily="18" charset="0"/>
                        <a:cs typeface="Times New Roman" pitchFamily="18" charset="0"/>
                      </a:rPr>
                      <a:t>10</a:t>
                    </a:r>
                    <a:r>
                      <a:rPr lang="ru-RU" sz="1100">
                        <a:latin typeface="Times New Roman" pitchFamily="18" charset="0"/>
                        <a:cs typeface="Times New Roman" pitchFamily="18" charset="0"/>
                      </a:rPr>
                      <a:t>6,3%</a:t>
                    </a:r>
                    <a:endParaRPr lang="en-US" sz="1100">
                      <a:latin typeface="Times New Roman" pitchFamily="18" charset="0"/>
                      <a:cs typeface="Times New Roman" pitchFamily="18" charset="0"/>
                    </a:endParaRPr>
                  </a:p>
                </c:rich>
              </c:tx>
              <c:dLblPos val="r"/>
            </c:dLbl>
            <c:dLbl>
              <c:idx val="1"/>
              <c:layout>
                <c:manualLayout>
                  <c:x val="-7.1506594591036934E-2"/>
                  <c:y val="-5.2525356440997636E-2"/>
                </c:manualLayout>
              </c:layout>
              <c:tx>
                <c:rich>
                  <a:bodyPr/>
                  <a:lstStyle/>
                  <a:p>
                    <a:r>
                      <a:rPr lang="en-US" sz="1100">
                        <a:latin typeface="Times New Roman" pitchFamily="18" charset="0"/>
                        <a:cs typeface="Times New Roman" pitchFamily="18" charset="0"/>
                      </a:rPr>
                      <a:t>1</a:t>
                    </a:r>
                    <a:r>
                      <a:rPr lang="ru-RU" sz="1100">
                        <a:latin typeface="Times New Roman" pitchFamily="18" charset="0"/>
                        <a:cs typeface="Times New Roman" pitchFamily="18" charset="0"/>
                      </a:rPr>
                      <a:t>12,4%</a:t>
                    </a:r>
                    <a:endParaRPr lang="en-US" sz="1100">
                      <a:latin typeface="Times New Roman" pitchFamily="18" charset="0"/>
                      <a:cs typeface="Times New Roman" pitchFamily="18" charset="0"/>
                    </a:endParaRPr>
                  </a:p>
                </c:rich>
              </c:tx>
              <c:dLblPos val="r"/>
            </c:dLbl>
            <c:dLbl>
              <c:idx val="2"/>
              <c:layout>
                <c:manualLayout>
                  <c:x val="-5.0793572433539914E-2"/>
                  <c:y val="-3.5084609398699534E-2"/>
                </c:manualLayout>
              </c:layout>
              <c:tx>
                <c:rich>
                  <a:bodyPr/>
                  <a:lstStyle/>
                  <a:p>
                    <a:r>
                      <a:rPr lang="en-US" sz="1100">
                        <a:latin typeface="Times New Roman" pitchFamily="18" charset="0"/>
                        <a:cs typeface="Times New Roman" pitchFamily="18" charset="0"/>
                      </a:rPr>
                      <a:t>1</a:t>
                    </a:r>
                    <a:r>
                      <a:rPr lang="ru-RU" sz="1100">
                        <a:latin typeface="Times New Roman" pitchFamily="18" charset="0"/>
                        <a:cs typeface="Times New Roman" pitchFamily="18" charset="0"/>
                      </a:rPr>
                      <a:t>69,8%</a:t>
                    </a:r>
                    <a:endParaRPr lang="en-US" sz="1100">
                      <a:latin typeface="Times New Roman" pitchFamily="18" charset="0"/>
                      <a:cs typeface="Times New Roman" pitchFamily="18" charset="0"/>
                    </a:endParaRPr>
                  </a:p>
                </c:rich>
              </c:tx>
              <c:dLblPos val="r"/>
            </c:dLbl>
            <c:dLbl>
              <c:idx val="3"/>
              <c:layout>
                <c:manualLayout>
                  <c:x val="-3.4021836612116212E-2"/>
                  <c:y val="-4.5135124441103174E-2"/>
                </c:manualLayout>
              </c:layout>
              <c:tx>
                <c:rich>
                  <a:bodyPr/>
                  <a:lstStyle/>
                  <a:p>
                    <a:r>
                      <a:rPr lang="ru-RU" sz="1100">
                        <a:latin typeface="Times New Roman" pitchFamily="18" charset="0"/>
                        <a:cs typeface="Times New Roman" pitchFamily="18" charset="0"/>
                      </a:rPr>
                      <a:t>128,9%</a:t>
                    </a:r>
                    <a:endParaRPr lang="en-US" sz="1100">
                      <a:latin typeface="Times New Roman" pitchFamily="18" charset="0"/>
                      <a:cs typeface="Times New Roman" pitchFamily="18" charset="0"/>
                    </a:endParaRPr>
                  </a:p>
                </c:rich>
              </c:tx>
              <c:dLblPos val="r"/>
            </c:dLbl>
            <c:dLbl>
              <c:idx val="4"/>
              <c:layout>
                <c:manualLayout>
                  <c:x val="-4.8624227614181462E-2"/>
                  <c:y val="-4.1784776902887136E-2"/>
                </c:manualLayout>
              </c:layout>
              <c:tx>
                <c:rich>
                  <a:bodyPr/>
                  <a:lstStyle/>
                  <a:p>
                    <a:r>
                      <a:rPr lang="ru-RU" sz="1100">
                        <a:latin typeface="Times New Roman" pitchFamily="18" charset="0"/>
                        <a:cs typeface="Times New Roman" pitchFamily="18" charset="0"/>
                      </a:rPr>
                      <a:t>132,2%</a:t>
                    </a:r>
                    <a:endParaRPr lang="en-US" sz="1100">
                      <a:latin typeface="Times New Roman" pitchFamily="18" charset="0"/>
                      <a:cs typeface="Times New Roman" pitchFamily="18" charset="0"/>
                    </a:endParaRPr>
                  </a:p>
                </c:rich>
              </c:tx>
              <c:dLblPos val="r"/>
            </c:dLbl>
            <c:txPr>
              <a:bodyPr/>
              <a:lstStyle/>
              <a:p>
                <a:pPr>
                  <a:defRPr sz="1100">
                    <a:latin typeface="Times New Roman" pitchFamily="18" charset="0"/>
                    <a:cs typeface="Times New Roman" pitchFamily="18" charset="0"/>
                  </a:defRPr>
                </a:pPr>
                <a:endParaRPr lang="ru-RU"/>
              </a:p>
            </c:txPr>
            <c:showVal val="1"/>
          </c:dLbls>
          <c:cat>
            <c:strRef>
              <c:f>'Белоярский р-н'!$B$24:$F$24</c:f>
              <c:strCache>
                <c:ptCount val="5"/>
                <c:pt idx="0">
                  <c:v>2013 год    отчет</c:v>
                </c:pt>
                <c:pt idx="1">
                  <c:v>2014 год оценка</c:v>
                </c:pt>
                <c:pt idx="2">
                  <c:v>2015 год прогноз</c:v>
                </c:pt>
                <c:pt idx="3">
                  <c:v>2016 год прогноз</c:v>
                </c:pt>
                <c:pt idx="4">
                  <c:v>2017 год прогноз</c:v>
                </c:pt>
              </c:strCache>
            </c:strRef>
          </c:cat>
          <c:val>
            <c:numRef>
              <c:f>'Белоярский р-н'!$B$26:$F$26</c:f>
              <c:numCache>
                <c:formatCode>0.00</c:formatCode>
                <c:ptCount val="5"/>
                <c:pt idx="0">
                  <c:v>106.34345265065701</c:v>
                </c:pt>
                <c:pt idx="1">
                  <c:v>112.37750319556881</c:v>
                </c:pt>
                <c:pt idx="2">
                  <c:v>169.81990521327012</c:v>
                </c:pt>
                <c:pt idx="3">
                  <c:v>128.93503014065641</c:v>
                </c:pt>
                <c:pt idx="4">
                  <c:v>132.16450216450133</c:v>
                </c:pt>
              </c:numCache>
            </c:numRef>
          </c:val>
        </c:ser>
        <c:dLbls/>
        <c:marker val="1"/>
        <c:axId val="142986624"/>
        <c:axId val="142886016"/>
      </c:lineChart>
      <c:catAx>
        <c:axId val="142983168"/>
        <c:scaling>
          <c:orientation val="minMax"/>
        </c:scaling>
        <c:axPos val="b"/>
        <c:numFmt formatCode="General" sourceLinked="1"/>
        <c:majorTickMark val="cross"/>
        <c:tickLblPos val="nextTo"/>
        <c:spPr>
          <a:ln w="3175">
            <a:solidFill>
              <a:srgbClr val="000000"/>
            </a:solidFill>
            <a:prstDash val="solid"/>
          </a:ln>
        </c:spPr>
        <c:txPr>
          <a:bodyPr rot="0" vert="horz"/>
          <a:lstStyle/>
          <a:p>
            <a:pPr>
              <a:defRPr sz="1100" b="0" i="0" u="none" strike="noStrike" baseline="0">
                <a:solidFill>
                  <a:srgbClr val="000000"/>
                </a:solidFill>
                <a:latin typeface="Times New Roman"/>
                <a:ea typeface="Times New Roman"/>
                <a:cs typeface="Times New Roman"/>
              </a:defRPr>
            </a:pPr>
            <a:endParaRPr lang="ru-RU"/>
          </a:p>
        </c:txPr>
        <c:crossAx val="142984704"/>
        <c:crosses val="autoZero"/>
        <c:lblAlgn val="ctr"/>
        <c:lblOffset val="100"/>
        <c:tickLblSkip val="1"/>
        <c:tickMarkSkip val="1"/>
      </c:catAx>
      <c:valAx>
        <c:axId val="142984704"/>
        <c:scaling>
          <c:orientation val="minMax"/>
          <c:max val="5000"/>
          <c:min val="500"/>
        </c:scaling>
        <c:axPos val="l"/>
        <c:title>
          <c:tx>
            <c:rich>
              <a:bodyPr/>
              <a:lstStyle/>
              <a:p>
                <a:pPr>
                  <a:defRPr sz="1100" b="1" i="0" u="none" strike="noStrike" baseline="0">
                    <a:solidFill>
                      <a:schemeClr val="bg1"/>
                    </a:solidFill>
                    <a:latin typeface="Times New Roman"/>
                    <a:ea typeface="Times New Roman"/>
                    <a:cs typeface="Times New Roman"/>
                  </a:defRPr>
                </a:pPr>
                <a:r>
                  <a:rPr lang="ru-RU">
                    <a:solidFill>
                      <a:schemeClr val="bg1"/>
                    </a:solidFill>
                  </a:rPr>
                  <a:t>тыс. тонн</a:t>
                </a:r>
              </a:p>
            </c:rich>
          </c:tx>
          <c:layout>
            <c:manualLayout>
              <c:xMode val="edge"/>
              <c:yMode val="edge"/>
              <c:x val="2.2222167370144652E-2"/>
              <c:y val="0.37878895791292627"/>
            </c:manualLayout>
          </c:layout>
          <c:spPr>
            <a:noFill/>
            <a:ln w="25400">
              <a:noFill/>
            </a:ln>
          </c:spPr>
        </c:title>
        <c:numFmt formatCode="0.0" sourceLinked="1"/>
        <c:majorTickMark val="cross"/>
        <c:tickLblPos val="nextTo"/>
        <c:spPr>
          <a:noFill/>
          <a:ln w="3175">
            <a:noFill/>
            <a:prstDash val="solid"/>
          </a:ln>
        </c:spPr>
        <c:txPr>
          <a:bodyPr rot="0" vert="horz"/>
          <a:lstStyle/>
          <a:p>
            <a:pPr>
              <a:defRPr sz="1100" b="0" i="0" u="none" strike="noStrike" baseline="0">
                <a:solidFill>
                  <a:schemeClr val="bg1"/>
                </a:solidFill>
                <a:latin typeface="Times New Roman"/>
                <a:ea typeface="Times New Roman"/>
                <a:cs typeface="Times New Roman"/>
              </a:defRPr>
            </a:pPr>
            <a:endParaRPr lang="ru-RU"/>
          </a:p>
        </c:txPr>
        <c:crossAx val="142983168"/>
        <c:crosses val="autoZero"/>
        <c:crossBetween val="between"/>
        <c:majorUnit val="500"/>
      </c:valAx>
      <c:catAx>
        <c:axId val="142986624"/>
        <c:scaling>
          <c:orientation val="minMax"/>
        </c:scaling>
        <c:delete val="1"/>
        <c:axPos val="b"/>
        <c:tickLblPos val="none"/>
        <c:crossAx val="142886016"/>
        <c:crosses val="autoZero"/>
        <c:lblAlgn val="ctr"/>
        <c:lblOffset val="100"/>
      </c:catAx>
      <c:valAx>
        <c:axId val="142886016"/>
        <c:scaling>
          <c:orientation val="minMax"/>
          <c:max val="170"/>
          <c:min val="0"/>
        </c:scaling>
        <c:axPos val="r"/>
        <c:numFmt formatCode="0.00" sourceLinked="1"/>
        <c:majorTickMark val="cross"/>
        <c:tickLblPos val="nextTo"/>
        <c:spPr>
          <a:ln w="3175">
            <a:solidFill>
              <a:srgbClr val="FFFFFF"/>
            </a:solidFill>
            <a:prstDash val="solid"/>
          </a:ln>
        </c:spPr>
        <c:txPr>
          <a:bodyPr rot="0" vert="horz"/>
          <a:lstStyle/>
          <a:p>
            <a:pPr>
              <a:defRPr sz="1000" b="0" i="0" u="none" strike="noStrike" baseline="0">
                <a:solidFill>
                  <a:srgbClr val="FFFFFF"/>
                </a:solidFill>
                <a:latin typeface="Arial"/>
                <a:ea typeface="Arial"/>
                <a:cs typeface="Arial"/>
              </a:defRPr>
            </a:pPr>
            <a:endParaRPr lang="ru-RU"/>
          </a:p>
        </c:txPr>
        <c:crossAx val="142986624"/>
        <c:crosses val="max"/>
        <c:crossBetween val="between"/>
        <c:majorUnit val="20"/>
        <c:minorUnit val="4"/>
      </c:valAx>
      <c:spPr>
        <a:solidFill>
          <a:srgbClr val="FFFFFF"/>
        </a:solidFill>
        <a:ln w="12700">
          <a:solidFill>
            <a:srgbClr val="FFFFFF"/>
          </a:solidFill>
          <a:prstDash val="solid"/>
        </a:ln>
      </c:spPr>
    </c:plotArea>
    <c:legend>
      <c:legendPos val="b"/>
      <c:layout>
        <c:manualLayout>
          <c:xMode val="edge"/>
          <c:yMode val="edge"/>
          <c:x val="0.11111133051942143"/>
          <c:y val="0.90606338780516427"/>
          <c:w val="0.84285850632307813"/>
          <c:h val="7.2727416610612133E-2"/>
        </c:manualLayout>
      </c:layout>
      <c:spPr>
        <a:solidFill>
          <a:srgbClr val="FFFFFF"/>
        </a:solidFill>
        <a:ln w="3175">
          <a:solidFill>
            <a:srgbClr val="FFFFFF"/>
          </a:solidFill>
          <a:prstDash val="solid"/>
        </a:ln>
      </c:spPr>
      <c:txPr>
        <a:bodyPr/>
        <a:lstStyle/>
        <a:p>
          <a:pPr>
            <a:defRPr sz="920" b="0" i="0" u="none" strike="noStrike" baseline="0">
              <a:solidFill>
                <a:srgbClr val="000000"/>
              </a:solidFill>
              <a:latin typeface="Times New Roman"/>
              <a:ea typeface="Times New Roman"/>
              <a:cs typeface="Times New Roman"/>
            </a:defRPr>
          </a:pPr>
          <a:endParaRPr lang="ru-RU"/>
        </a:p>
      </c:txPr>
    </c:legend>
    <c:plotVisOnly val="1"/>
    <c:dispBlanksAs val="gap"/>
  </c:chart>
  <c:spPr>
    <a:solidFill>
      <a:srgbClr val="FFFFFF"/>
    </a:solidFill>
    <a:ln w="12700">
      <a:solidFill>
        <a:srgbClr val="FFFFFF"/>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00" b="1" i="0" u="none" strike="noStrike" baseline="0">
                <a:solidFill>
                  <a:srgbClr val="000000"/>
                </a:solidFill>
                <a:latin typeface="Times New Roman"/>
                <a:ea typeface="Times New Roman"/>
                <a:cs typeface="Times New Roman"/>
              </a:defRPr>
            </a:pPr>
            <a:r>
              <a:rPr lang="ru-RU"/>
              <a:t>Структура обрабатывающего производства в оценке 2014 года</a:t>
            </a:r>
          </a:p>
        </c:rich>
      </c:tx>
      <c:layout>
        <c:manualLayout>
          <c:xMode val="edge"/>
          <c:yMode val="edge"/>
          <c:x val="0.16466871929470317"/>
          <c:y val="1.5414258188824659E-2"/>
        </c:manualLayout>
      </c:layout>
      <c:spPr>
        <a:noFill/>
        <a:ln w="25400">
          <a:noFill/>
        </a:ln>
      </c:spPr>
    </c:title>
    <c:view3D>
      <c:rotX val="30"/>
      <c:rotY val="300"/>
      <c:perspective val="0"/>
    </c:view3D>
    <c:plotArea>
      <c:layout>
        <c:manualLayout>
          <c:layoutTarget val="inner"/>
          <c:xMode val="edge"/>
          <c:yMode val="edge"/>
          <c:x val="0.21207264957264971"/>
          <c:y val="0.42257976423467547"/>
          <c:w val="0.64423076923076927"/>
          <c:h val="0.54130808793409491"/>
        </c:manualLayout>
      </c:layout>
      <c:pie3DChart>
        <c:varyColors val="1"/>
        <c:ser>
          <c:idx val="0"/>
          <c:order val="0"/>
          <c:tx>
            <c:strRef>
              <c:f>'Белоярский р-н'!$B$33</c:f>
              <c:strCache>
                <c:ptCount val="1"/>
                <c:pt idx="0">
                  <c:v>2014 год оценка</c:v>
                </c:pt>
              </c:strCache>
            </c:strRef>
          </c:tx>
          <c:spPr>
            <a:solidFill>
              <a:srgbClr val="9999FF"/>
            </a:solidFill>
            <a:ln w="12700">
              <a:solidFill>
                <a:srgbClr val="000000"/>
              </a:solidFill>
              <a:prstDash val="solid"/>
            </a:ln>
          </c:spPr>
          <c:explosion val="26"/>
          <c:dPt>
            <c:idx val="0"/>
            <c:spPr>
              <a:gradFill rotWithShape="0">
                <a:gsLst>
                  <a:gs pos="0">
                    <a:srgbClr val="E11FE6"/>
                  </a:gs>
                  <a:gs pos="50000">
                    <a:srgbClr val="FF66CC"/>
                  </a:gs>
                  <a:gs pos="100000">
                    <a:srgbClr val="E6A4E1"/>
                  </a:gs>
                </a:gsLst>
                <a:lin ang="18900000" scaled="1"/>
              </a:gradFill>
              <a:ln w="12700">
                <a:solidFill>
                  <a:srgbClr val="000000"/>
                </a:solidFill>
                <a:prstDash val="solid"/>
              </a:ln>
            </c:spPr>
          </c:dPt>
          <c:dPt>
            <c:idx val="1"/>
            <c:spPr>
              <a:gradFill rotWithShape="0">
                <a:gsLst>
                  <a:gs pos="0">
                    <a:srgbClr val="FFFF00"/>
                  </a:gs>
                  <a:gs pos="50000">
                    <a:srgbClr val="E3ED83"/>
                  </a:gs>
                  <a:gs pos="100000">
                    <a:srgbClr val="FFFF66"/>
                  </a:gs>
                </a:gsLst>
                <a:lin ang="5400000" scaled="1"/>
              </a:gradFill>
              <a:ln w="12700">
                <a:solidFill>
                  <a:srgbClr val="000000"/>
                </a:solidFill>
                <a:prstDash val="solid"/>
              </a:ln>
            </c:spPr>
          </c:dPt>
          <c:dPt>
            <c:idx val="2"/>
            <c:spPr>
              <a:gradFill rotWithShape="0">
                <a:gsLst>
                  <a:gs pos="0">
                    <a:srgbClr val="8064A2">
                      <a:lumMod val="40000"/>
                      <a:lumOff val="60000"/>
                    </a:srgbClr>
                  </a:gs>
                  <a:gs pos="50000">
                    <a:srgbClr val="8064A2">
                      <a:lumMod val="60000"/>
                      <a:lumOff val="40000"/>
                    </a:srgbClr>
                  </a:gs>
                  <a:gs pos="100000">
                    <a:schemeClr val="accent4">
                      <a:lumMod val="75000"/>
                    </a:schemeClr>
                  </a:gs>
                </a:gsLst>
                <a:lin ang="5400000" scaled="1"/>
              </a:gradFill>
              <a:ln w="12700">
                <a:solidFill>
                  <a:srgbClr val="000000"/>
                </a:solidFill>
                <a:prstDash val="solid"/>
              </a:ln>
            </c:spPr>
          </c:dPt>
          <c:dPt>
            <c:idx val="3"/>
            <c:spPr>
              <a:solidFill>
                <a:srgbClr val="00B0F0"/>
              </a:solidFill>
              <a:ln w="12700">
                <a:solidFill>
                  <a:srgbClr val="000000"/>
                </a:solidFill>
                <a:prstDash val="solid"/>
              </a:ln>
            </c:spPr>
          </c:dPt>
          <c:dLbls>
            <c:dLbl>
              <c:idx val="0"/>
              <c:layout>
                <c:manualLayout>
                  <c:x val="-4.5215525943872403E-2"/>
                  <c:y val="-7.0951709071048197E-2"/>
                </c:manualLayout>
              </c:layout>
              <c:tx>
                <c:rich>
                  <a:bodyPr/>
                  <a:lstStyle/>
                  <a:p>
                    <a:r>
                      <a:rPr lang="ru-RU"/>
                      <a:t>Производство пищевых продуктов, включая напитки, и табака
</a:t>
                    </a:r>
                    <a:r>
                      <a:rPr lang="ru-RU" sz="1050" b="1"/>
                      <a:t>5,3%</a:t>
                    </a:r>
                  </a:p>
                </c:rich>
              </c:tx>
              <c:dLblPos val="bestFit"/>
            </c:dLbl>
            <c:dLbl>
              <c:idx val="1"/>
              <c:layout>
                <c:manualLayout>
                  <c:x val="0.17835453260650111"/>
                  <c:y val="-7.2195166355650625E-2"/>
                </c:manualLayout>
              </c:layout>
              <c:tx>
                <c:rich>
                  <a:bodyPr/>
                  <a:lstStyle/>
                  <a:p>
                    <a:r>
                      <a:rPr lang="ru-RU"/>
                      <a:t>Производство прочих неметаллических минеральных продуктов
</a:t>
                    </a:r>
                    <a:r>
                      <a:rPr lang="ru-RU" sz="1050" b="1"/>
                      <a:t>0,4%</a:t>
                    </a:r>
                  </a:p>
                </c:rich>
              </c:tx>
              <c:dLblPos val="bestFit"/>
            </c:dLbl>
            <c:dLbl>
              <c:idx val="2"/>
              <c:layout>
                <c:manualLayout>
                  <c:x val="7.608705161854773E-2"/>
                  <c:y val="-0.30522931743358672"/>
                </c:manualLayout>
              </c:layout>
              <c:tx>
                <c:rich>
                  <a:bodyPr/>
                  <a:lstStyle/>
                  <a:p>
                    <a:r>
                      <a:rPr lang="ru-RU"/>
                      <a:t>Производство машин и оборудования без производства оружия и боеприпасов
</a:t>
                    </a:r>
                    <a:r>
                      <a:rPr lang="ru-RU" sz="1050" b="1"/>
                      <a:t>94,0%</a:t>
                    </a:r>
                  </a:p>
                </c:rich>
              </c:tx>
              <c:dLblPos val="bestFit"/>
            </c:dLbl>
            <c:dLbl>
              <c:idx val="3"/>
              <c:layout>
                <c:manualLayout>
                  <c:x val="-6.2085268187630403E-2"/>
                  <c:y val="0.22092030403713991"/>
                </c:manualLayout>
              </c:layout>
              <c:tx>
                <c:rich>
                  <a:bodyPr/>
                  <a:lstStyle/>
                  <a:p>
                    <a:r>
                      <a:rPr lang="ru-RU"/>
                      <a:t>Прочие производства
</a:t>
                    </a:r>
                    <a:r>
                      <a:rPr lang="ru-RU" sz="1050" b="1"/>
                      <a:t>0,3%</a:t>
                    </a:r>
                  </a:p>
                </c:rich>
              </c:tx>
              <c:dLblPos val="bestFit"/>
            </c:dLbl>
            <c:numFmt formatCode="0.0%" sourceLinked="0"/>
            <c:txPr>
              <a:bodyPr/>
              <a:lstStyle/>
              <a:p>
                <a:pPr>
                  <a:defRPr sz="1000">
                    <a:latin typeface="Times New Roman" pitchFamily="18" charset="0"/>
                    <a:cs typeface="Times New Roman" pitchFamily="18" charset="0"/>
                  </a:defRPr>
                </a:pPr>
                <a:endParaRPr lang="ru-RU"/>
              </a:p>
            </c:txPr>
            <c:showCatName val="1"/>
            <c:showPercent val="1"/>
            <c:showLeaderLines val="1"/>
          </c:dLbls>
          <c:cat>
            <c:strRef>
              <c:f>'Белоярский р-н'!$A$34:$A$37</c:f>
              <c:strCache>
                <c:ptCount val="4"/>
                <c:pt idx="0">
                  <c:v>Производство пищевых продуктов, включая напитки, и табака</c:v>
                </c:pt>
                <c:pt idx="1">
                  <c:v>Производство прочих неметаллических минеральных продуктов</c:v>
                </c:pt>
                <c:pt idx="2">
                  <c:v>Производство машин и оборудования без производства оружия и боеприпасов</c:v>
                </c:pt>
                <c:pt idx="3">
                  <c:v>Прочие производства</c:v>
                </c:pt>
              </c:strCache>
            </c:strRef>
          </c:cat>
          <c:val>
            <c:numRef>
              <c:f>'Белоярский р-н'!$B$34:$B$37</c:f>
              <c:numCache>
                <c:formatCode>#,##0.000</c:formatCode>
                <c:ptCount val="4"/>
                <c:pt idx="0">
                  <c:v>86.903999999999996</c:v>
                </c:pt>
                <c:pt idx="1">
                  <c:v>7.13</c:v>
                </c:pt>
                <c:pt idx="2">
                  <c:v>1540.33</c:v>
                </c:pt>
                <c:pt idx="3">
                  <c:v>5.1349999999999865</c:v>
                </c:pt>
              </c:numCache>
            </c:numRef>
          </c:val>
        </c:ser>
        <c:dLbls>
          <c:showPercent val="1"/>
        </c:dLbls>
      </c:pie3DChart>
      <c:spPr>
        <a:noFill/>
        <a:ln w="25400">
          <a:noFill/>
        </a:ln>
      </c:spPr>
    </c:plotArea>
    <c:plotVisOnly val="1"/>
    <c:dispBlanksAs val="zero"/>
  </c:chart>
  <c:spPr>
    <a:solidFill>
      <a:srgbClr val="FFFFFF"/>
    </a:solidFill>
    <a:ln w="12700">
      <a:solidFill>
        <a:srgbClr val="FFFFFF"/>
      </a:solidFill>
      <a:prstDash val="solid"/>
    </a:ln>
  </c:spPr>
  <c:txPr>
    <a:bodyPr/>
    <a:lstStyle/>
    <a:p>
      <a:pPr>
        <a:defRPr sz="1050" b="0"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00" b="1" i="0" u="none" strike="noStrike" baseline="0">
                <a:solidFill>
                  <a:srgbClr val="000000"/>
                </a:solidFill>
                <a:latin typeface="Times New Roman"/>
                <a:ea typeface="Times New Roman"/>
                <a:cs typeface="Times New Roman"/>
              </a:defRPr>
            </a:pPr>
            <a:r>
              <a:rPr lang="ru-RU"/>
              <a:t>Динамика объемов производства электроэнергии на территории Белоярского района</a:t>
            </a:r>
          </a:p>
        </c:rich>
      </c:tx>
      <c:layout>
        <c:manualLayout>
          <c:xMode val="edge"/>
          <c:yMode val="edge"/>
          <c:x val="0.13528155571462658"/>
          <c:y val="2.7944146981627435E-2"/>
        </c:manualLayout>
      </c:layout>
      <c:spPr>
        <a:noFill/>
        <a:ln w="25400">
          <a:noFill/>
        </a:ln>
      </c:spPr>
    </c:title>
    <c:plotArea>
      <c:layout>
        <c:manualLayout>
          <c:layoutTarget val="inner"/>
          <c:xMode val="edge"/>
          <c:yMode val="edge"/>
          <c:x val="8.6810853188805964E-2"/>
          <c:y val="0.22993253942430755"/>
          <c:w val="0.81547687220915588"/>
          <c:h val="0.48072986876640539"/>
        </c:manualLayout>
      </c:layout>
      <c:barChart>
        <c:barDir val="col"/>
        <c:grouping val="clustered"/>
        <c:ser>
          <c:idx val="0"/>
          <c:order val="0"/>
          <c:tx>
            <c:strRef>
              <c:f>'Белоярский р-н'!$A$48</c:f>
              <c:strCache>
                <c:ptCount val="1"/>
                <c:pt idx="0">
                  <c:v>Производство электроэнергии, млн. кВт.ч</c:v>
                </c:pt>
              </c:strCache>
            </c:strRef>
          </c:tx>
          <c:spPr>
            <a:gradFill>
              <a:gsLst>
                <a:gs pos="0">
                  <a:srgbClr val="F2F0A6"/>
                </a:gs>
                <a:gs pos="50000">
                  <a:srgbClr val="E3F406"/>
                </a:gs>
                <a:gs pos="100000">
                  <a:srgbClr val="FFFF66"/>
                </a:gs>
              </a:gsLst>
              <a:lin ang="5400000" scaled="1"/>
            </a:gradFill>
            <a:ln w="12700">
              <a:solidFill>
                <a:srgbClr val="000000"/>
              </a:solidFill>
              <a:prstDash val="solid"/>
            </a:ln>
          </c:spPr>
          <c:dLbls>
            <c:dLbl>
              <c:idx val="0"/>
              <c:layout>
                <c:manualLayout>
                  <c:x val="6.49350649350652E-3"/>
                  <c:y val="5.3543307086614169E-3"/>
                </c:manualLayout>
              </c:layout>
              <c:dLblPos val="outEnd"/>
              <c:showVal val="1"/>
            </c:dLbl>
            <c:dLbl>
              <c:idx val="1"/>
              <c:layout>
                <c:manualLayout>
                  <c:x val="2.1643317312608859E-3"/>
                  <c:y val="6.6640069991251091E-3"/>
                </c:manualLayout>
              </c:layout>
              <c:dLblPos val="outEnd"/>
              <c:showVal val="1"/>
            </c:dLbl>
            <c:dLbl>
              <c:idx val="2"/>
              <c:layout>
                <c:manualLayout>
                  <c:x val="4.3290043290043333E-3"/>
                  <c:y val="5.6102187226596241E-3"/>
                </c:manualLayout>
              </c:layout>
              <c:dLblPos val="outEnd"/>
              <c:showVal val="1"/>
            </c:dLbl>
            <c:dLbl>
              <c:idx val="3"/>
              <c:layout>
                <c:manualLayout>
                  <c:x val="0"/>
                  <c:y val="6.0466841644794007E-3"/>
                </c:manualLayout>
              </c:layout>
              <c:dLblPos val="outEnd"/>
              <c:showVal val="1"/>
            </c:dLbl>
            <c:dLbl>
              <c:idx val="4"/>
              <c:layout>
                <c:manualLayout>
                  <c:x val="2.164502164502174E-3"/>
                  <c:y val="6.0466841644795134E-3"/>
                </c:manualLayout>
              </c:layout>
              <c:dLblPos val="outEnd"/>
              <c:showVal val="1"/>
            </c:dLbl>
            <c:txPr>
              <a:bodyPr/>
              <a:lstStyle/>
              <a:p>
                <a:pPr>
                  <a:defRPr sz="1100" b="1">
                    <a:latin typeface="Times New Roman" pitchFamily="18" charset="0"/>
                    <a:cs typeface="Times New Roman" pitchFamily="18" charset="0"/>
                  </a:defRPr>
                </a:pPr>
                <a:endParaRPr lang="ru-RU"/>
              </a:p>
            </c:txPr>
            <c:showVal val="1"/>
          </c:dLbls>
          <c:cat>
            <c:strRef>
              <c:f>'Белоярский р-н'!$B$47:$F$47</c:f>
              <c:strCache>
                <c:ptCount val="5"/>
                <c:pt idx="0">
                  <c:v>2013 год    отчет</c:v>
                </c:pt>
                <c:pt idx="1">
                  <c:v>2014 год оценка</c:v>
                </c:pt>
                <c:pt idx="2">
                  <c:v>2015 год прогноз</c:v>
                </c:pt>
                <c:pt idx="3">
                  <c:v>2016 год прогноз</c:v>
                </c:pt>
                <c:pt idx="4">
                  <c:v>2017 год прогноз</c:v>
                </c:pt>
              </c:strCache>
            </c:strRef>
          </c:cat>
          <c:val>
            <c:numRef>
              <c:f>'Белоярский р-н'!$B$48:$F$48</c:f>
              <c:numCache>
                <c:formatCode>0.0</c:formatCode>
                <c:ptCount val="5"/>
                <c:pt idx="0">
                  <c:v>325.10000000000002</c:v>
                </c:pt>
                <c:pt idx="1">
                  <c:v>307.5</c:v>
                </c:pt>
                <c:pt idx="2">
                  <c:v>311.5</c:v>
                </c:pt>
                <c:pt idx="3">
                  <c:v>317.2</c:v>
                </c:pt>
                <c:pt idx="4">
                  <c:v>324.3</c:v>
                </c:pt>
              </c:numCache>
            </c:numRef>
          </c:val>
        </c:ser>
        <c:dLbls/>
        <c:gapWidth val="30"/>
        <c:overlap val="70"/>
        <c:axId val="143090048"/>
        <c:axId val="143091584"/>
      </c:barChart>
      <c:lineChart>
        <c:grouping val="standard"/>
        <c:ser>
          <c:idx val="1"/>
          <c:order val="1"/>
          <c:tx>
            <c:strRef>
              <c:f>'Белоярский р-н'!$A$49</c:f>
              <c:strCache>
                <c:ptCount val="1"/>
                <c:pt idx="0">
                  <c:v>Индекс производства, %</c:v>
                </c:pt>
              </c:strCache>
            </c:strRef>
          </c:tx>
          <c:spPr>
            <a:ln w="12700">
              <a:solidFill>
                <a:schemeClr val="tx1"/>
              </a:solidFill>
              <a:prstDash val="solid"/>
            </a:ln>
          </c:spPr>
          <c:marker>
            <c:symbol val="square"/>
            <c:size val="5"/>
            <c:spPr>
              <a:solidFill>
                <a:schemeClr val="tx1"/>
              </a:solidFill>
              <a:ln>
                <a:solidFill>
                  <a:srgbClr val="FFC000"/>
                </a:solidFill>
                <a:prstDash val="solid"/>
              </a:ln>
            </c:spPr>
          </c:marker>
          <c:dLbls>
            <c:dLbl>
              <c:idx val="0"/>
              <c:layout>
                <c:manualLayout>
                  <c:x val="-4.1125541125541128E-2"/>
                  <c:y val="-4.2666666666666714E-2"/>
                </c:manualLayout>
              </c:layout>
              <c:tx>
                <c:rich>
                  <a:bodyPr/>
                  <a:lstStyle/>
                  <a:p>
                    <a:r>
                      <a:rPr lang="ru-RU"/>
                      <a:t>63,1%</a:t>
                    </a:r>
                    <a:endParaRPr lang="en-US"/>
                  </a:p>
                </c:rich>
              </c:tx>
              <c:dLblPos val="r"/>
            </c:dLbl>
            <c:dLbl>
              <c:idx val="1"/>
              <c:layout>
                <c:manualLayout>
                  <c:x val="-5.1948051948051951E-2"/>
                  <c:y val="-3.9111111111111152E-2"/>
                </c:manualLayout>
              </c:layout>
              <c:tx>
                <c:rich>
                  <a:bodyPr/>
                  <a:lstStyle/>
                  <a:p>
                    <a:r>
                      <a:rPr lang="ru-RU"/>
                      <a:t>94,6%</a:t>
                    </a:r>
                    <a:endParaRPr lang="en-US"/>
                  </a:p>
                </c:rich>
              </c:tx>
              <c:dLblPos val="r"/>
            </c:dLbl>
            <c:dLbl>
              <c:idx val="2"/>
              <c:layout>
                <c:manualLayout>
                  <c:x val="-3.896103896103896E-2"/>
                  <c:y val="-5.3333333333333684E-2"/>
                </c:manualLayout>
              </c:layout>
              <c:tx>
                <c:rich>
                  <a:bodyPr/>
                  <a:lstStyle/>
                  <a:p>
                    <a:r>
                      <a:rPr lang="ru-RU"/>
                      <a:t>101,3%</a:t>
                    </a:r>
                    <a:endParaRPr lang="en-US"/>
                  </a:p>
                </c:rich>
              </c:tx>
              <c:dLblPos val="r"/>
            </c:dLbl>
            <c:dLbl>
              <c:idx val="3"/>
              <c:layout>
                <c:manualLayout>
                  <c:x val="-5.1948051948052028E-2"/>
                  <c:y val="-3.9111111111111152E-2"/>
                </c:manualLayout>
              </c:layout>
              <c:tx>
                <c:rich>
                  <a:bodyPr/>
                  <a:lstStyle/>
                  <a:p>
                    <a:r>
                      <a:rPr lang="en-US"/>
                      <a:t>10</a:t>
                    </a:r>
                    <a:r>
                      <a:rPr lang="ru-RU"/>
                      <a:t>1</a:t>
                    </a:r>
                    <a:r>
                      <a:rPr lang="en-US"/>
                      <a:t>,</a:t>
                    </a:r>
                    <a:r>
                      <a:rPr lang="ru-RU"/>
                      <a:t>8%</a:t>
                    </a:r>
                    <a:endParaRPr lang="en-US"/>
                  </a:p>
                </c:rich>
              </c:tx>
              <c:dLblPos val="r"/>
            </c:dLbl>
            <c:dLbl>
              <c:idx val="4"/>
              <c:layout>
                <c:manualLayout>
                  <c:x val="-5.1948051948051951E-2"/>
                  <c:y val="-4.2666666666666714E-2"/>
                </c:manualLayout>
              </c:layout>
              <c:tx>
                <c:rich>
                  <a:bodyPr/>
                  <a:lstStyle/>
                  <a:p>
                    <a:r>
                      <a:rPr lang="en-US"/>
                      <a:t>10</a:t>
                    </a:r>
                    <a:r>
                      <a:rPr lang="ru-RU"/>
                      <a:t>2</a:t>
                    </a:r>
                    <a:r>
                      <a:rPr lang="en-US"/>
                      <a:t>,</a:t>
                    </a:r>
                    <a:r>
                      <a:rPr lang="ru-RU"/>
                      <a:t>2%</a:t>
                    </a:r>
                    <a:endParaRPr lang="en-US"/>
                  </a:p>
                </c:rich>
              </c:tx>
              <c:dLblPos val="r"/>
            </c:dLbl>
            <c:txPr>
              <a:bodyPr/>
              <a:lstStyle/>
              <a:p>
                <a:pPr>
                  <a:defRPr sz="1100">
                    <a:latin typeface="Times New Roman" pitchFamily="18" charset="0"/>
                    <a:cs typeface="Times New Roman" pitchFamily="18" charset="0"/>
                  </a:defRPr>
                </a:pPr>
                <a:endParaRPr lang="ru-RU"/>
              </a:p>
            </c:txPr>
            <c:showVal val="1"/>
          </c:dLbls>
          <c:cat>
            <c:strRef>
              <c:f>'Белоярский р-н'!$B$47:$F$47</c:f>
              <c:strCache>
                <c:ptCount val="5"/>
                <c:pt idx="0">
                  <c:v>2013 год    отчет</c:v>
                </c:pt>
                <c:pt idx="1">
                  <c:v>2014 год оценка</c:v>
                </c:pt>
                <c:pt idx="2">
                  <c:v>2015 год прогноз</c:v>
                </c:pt>
                <c:pt idx="3">
                  <c:v>2016 год прогноз</c:v>
                </c:pt>
                <c:pt idx="4">
                  <c:v>2017 год прогноз</c:v>
                </c:pt>
              </c:strCache>
            </c:strRef>
          </c:cat>
          <c:val>
            <c:numRef>
              <c:f>'Белоярский р-н'!$B$49:$F$49</c:f>
              <c:numCache>
                <c:formatCode>0.0</c:formatCode>
                <c:ptCount val="5"/>
                <c:pt idx="0">
                  <c:v>63.1</c:v>
                </c:pt>
                <c:pt idx="1">
                  <c:v>94.586281144263282</c:v>
                </c:pt>
                <c:pt idx="2">
                  <c:v>101.30081300813009</c:v>
                </c:pt>
                <c:pt idx="3">
                  <c:v>101.82985553772039</c:v>
                </c:pt>
                <c:pt idx="4">
                  <c:v>102.23833543505657</c:v>
                </c:pt>
              </c:numCache>
            </c:numRef>
          </c:val>
        </c:ser>
        <c:dLbls/>
        <c:marker val="1"/>
        <c:axId val="143122432"/>
        <c:axId val="143123968"/>
      </c:lineChart>
      <c:catAx>
        <c:axId val="143090048"/>
        <c:scaling>
          <c:orientation val="minMax"/>
        </c:scaling>
        <c:axPos val="b"/>
        <c:numFmt formatCode="@" sourceLinked="0"/>
        <c:majorTickMark val="cross"/>
        <c:tickLblPos val="nextTo"/>
        <c:spPr>
          <a:ln w="3175">
            <a:solidFill>
              <a:srgbClr val="000000"/>
            </a:solidFill>
            <a:prstDash val="solid"/>
          </a:ln>
        </c:spPr>
        <c:txPr>
          <a:bodyPr rot="0" vert="horz"/>
          <a:lstStyle/>
          <a:p>
            <a:pPr>
              <a:defRPr sz="1100" b="0" i="0" u="none" strike="noStrike" baseline="0">
                <a:solidFill>
                  <a:srgbClr val="000000"/>
                </a:solidFill>
                <a:latin typeface="Times New Roman"/>
                <a:ea typeface="Times New Roman"/>
                <a:cs typeface="Times New Roman"/>
              </a:defRPr>
            </a:pPr>
            <a:endParaRPr lang="ru-RU"/>
          </a:p>
        </c:txPr>
        <c:crossAx val="143091584"/>
        <c:crossesAt val="0"/>
        <c:lblAlgn val="ctr"/>
        <c:lblOffset val="100"/>
        <c:tickLblSkip val="1"/>
        <c:tickMarkSkip val="1"/>
      </c:catAx>
      <c:valAx>
        <c:axId val="143091584"/>
        <c:scaling>
          <c:orientation val="minMax"/>
          <c:max val="800"/>
          <c:min val="0"/>
        </c:scaling>
        <c:axPos val="l"/>
        <c:title>
          <c:tx>
            <c:rich>
              <a:bodyPr/>
              <a:lstStyle/>
              <a:p>
                <a:pPr>
                  <a:defRPr sz="1000" b="1" i="0" u="none" strike="noStrike" baseline="0">
                    <a:solidFill>
                      <a:schemeClr val="bg1"/>
                    </a:solidFill>
                    <a:latin typeface="Times New Roman"/>
                    <a:ea typeface="Times New Roman"/>
                    <a:cs typeface="Times New Roman"/>
                  </a:defRPr>
                </a:pPr>
                <a:r>
                  <a:rPr lang="ru-RU">
                    <a:solidFill>
                      <a:schemeClr val="bg1"/>
                    </a:solidFill>
                  </a:rPr>
                  <a:t>млн. кВт. ч</a:t>
                </a:r>
              </a:p>
            </c:rich>
          </c:tx>
          <c:layout>
            <c:manualLayout>
              <c:xMode val="edge"/>
              <c:yMode val="edge"/>
              <c:x val="2.2727272727272894E-2"/>
              <c:y val="0.38024006999125304"/>
            </c:manualLayout>
          </c:layout>
          <c:spPr>
            <a:noFill/>
            <a:ln w="25400">
              <a:noFill/>
            </a:ln>
          </c:spPr>
        </c:title>
        <c:numFmt formatCode="0.0" sourceLinked="1"/>
        <c:majorTickMark val="cross"/>
        <c:tickLblPos val="nextTo"/>
        <c:spPr>
          <a:noFill/>
          <a:ln w="3175">
            <a:noFill/>
            <a:prstDash val="solid"/>
          </a:ln>
        </c:spPr>
        <c:txPr>
          <a:bodyPr rot="0" vert="horz"/>
          <a:lstStyle/>
          <a:p>
            <a:pPr>
              <a:defRPr sz="1100" b="0" i="0" u="none" strike="noStrike" baseline="0">
                <a:solidFill>
                  <a:schemeClr val="bg1"/>
                </a:solidFill>
                <a:latin typeface="Times New Roman"/>
                <a:ea typeface="Times New Roman"/>
                <a:cs typeface="Times New Roman"/>
              </a:defRPr>
            </a:pPr>
            <a:endParaRPr lang="ru-RU"/>
          </a:p>
        </c:txPr>
        <c:crossAx val="143090048"/>
        <c:crosses val="autoZero"/>
        <c:crossBetween val="between"/>
        <c:majorUnit val="100"/>
      </c:valAx>
      <c:catAx>
        <c:axId val="143122432"/>
        <c:scaling>
          <c:orientation val="minMax"/>
        </c:scaling>
        <c:delete val="1"/>
        <c:axPos val="b"/>
        <c:tickLblPos val="none"/>
        <c:crossAx val="143123968"/>
        <c:crosses val="autoZero"/>
        <c:lblAlgn val="ctr"/>
        <c:lblOffset val="100"/>
      </c:catAx>
      <c:valAx>
        <c:axId val="143123968"/>
        <c:scaling>
          <c:orientation val="minMax"/>
          <c:max val="105"/>
          <c:min val="0"/>
        </c:scaling>
        <c:axPos val="r"/>
        <c:numFmt formatCode="0.0" sourceLinked="1"/>
        <c:majorTickMark val="cross"/>
        <c:tickLblPos val="nextTo"/>
        <c:spPr>
          <a:ln w="3175">
            <a:solidFill>
              <a:srgbClr val="FFFFFF"/>
            </a:solidFill>
            <a:prstDash val="solid"/>
          </a:ln>
        </c:spPr>
        <c:txPr>
          <a:bodyPr rot="0" vert="horz"/>
          <a:lstStyle/>
          <a:p>
            <a:pPr>
              <a:defRPr sz="1200" b="0" i="0" u="none" strike="noStrike" baseline="0">
                <a:solidFill>
                  <a:srgbClr val="FFFFFF"/>
                </a:solidFill>
                <a:latin typeface="Times New Roman"/>
                <a:ea typeface="Times New Roman"/>
                <a:cs typeface="Times New Roman"/>
              </a:defRPr>
            </a:pPr>
            <a:endParaRPr lang="ru-RU"/>
          </a:p>
        </c:txPr>
        <c:crossAx val="143122432"/>
        <c:crosses val="max"/>
        <c:crossBetween val="between"/>
        <c:majorUnit val="10"/>
      </c:valAx>
      <c:spPr>
        <a:solidFill>
          <a:srgbClr val="FFFFFF"/>
        </a:solidFill>
        <a:ln w="12700">
          <a:solidFill>
            <a:srgbClr val="FFFFFF"/>
          </a:solidFill>
          <a:prstDash val="solid"/>
        </a:ln>
      </c:spPr>
    </c:plotArea>
    <c:legend>
      <c:legendPos val="r"/>
      <c:layout>
        <c:manualLayout>
          <c:xMode val="edge"/>
          <c:yMode val="edge"/>
          <c:x val="1.6233766233766243E-2"/>
          <c:y val="0.85628864391951065"/>
          <c:w val="0.97240344956880465"/>
          <c:h val="0.13473063867016621"/>
        </c:manualLayout>
      </c:layout>
      <c:spPr>
        <a:solidFill>
          <a:srgbClr val="FFFFFF"/>
        </a:solidFill>
        <a:ln w="3175">
          <a:solidFill>
            <a:srgbClr val="FFFFFF"/>
          </a:solidFill>
          <a:prstDash val="solid"/>
        </a:ln>
      </c:spPr>
      <c:txPr>
        <a:bodyPr/>
        <a:lstStyle/>
        <a:p>
          <a:pPr>
            <a:defRPr sz="920" b="0" i="0" u="none" strike="noStrike" baseline="0">
              <a:solidFill>
                <a:srgbClr val="000000"/>
              </a:solidFill>
              <a:latin typeface="Times New Roman"/>
              <a:ea typeface="Times New Roman"/>
              <a:cs typeface="Times New Roman"/>
            </a:defRPr>
          </a:pPr>
          <a:endParaRPr lang="ru-RU"/>
        </a:p>
      </c:txPr>
    </c:legend>
    <c:plotVisOnly val="1"/>
    <c:dispBlanksAs val="gap"/>
  </c:chart>
  <c:spPr>
    <a:solidFill>
      <a:srgbClr val="FFFFFF"/>
    </a:solidFill>
    <a:ln w="3175">
      <a:solidFill>
        <a:srgbClr val="FFFFFF"/>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style val="26"/>
  <c:chart>
    <c:title>
      <c:tx>
        <c:rich>
          <a:bodyPr/>
          <a:lstStyle/>
          <a:p>
            <a:pPr>
              <a:defRPr sz="1200" b="1" i="0" u="none" strike="noStrike" baseline="0">
                <a:solidFill>
                  <a:srgbClr val="000000"/>
                </a:solidFill>
                <a:latin typeface="Times New Roman"/>
                <a:ea typeface="Times New Roman"/>
                <a:cs typeface="Times New Roman"/>
              </a:defRPr>
            </a:pPr>
            <a:r>
              <a:rPr lang="ru-RU"/>
              <a:t>Динамика объемов производства продукции сельского хозяйства </a:t>
            </a:r>
          </a:p>
        </c:rich>
      </c:tx>
      <c:layout>
        <c:manualLayout>
          <c:xMode val="edge"/>
          <c:yMode val="edge"/>
          <c:x val="0.12793140407288447"/>
          <c:y val="3.4795650543682031E-3"/>
        </c:manualLayout>
      </c:layout>
    </c:title>
    <c:plotArea>
      <c:layout>
        <c:manualLayout>
          <c:layoutTarget val="inner"/>
          <c:xMode val="edge"/>
          <c:yMode val="edge"/>
          <c:x val="8.0321543408360146E-2"/>
          <c:y val="0.22390881906227114"/>
          <c:w val="0.83721329046088444"/>
          <c:h val="0.50756877612520657"/>
        </c:manualLayout>
      </c:layout>
      <c:barChart>
        <c:barDir val="col"/>
        <c:grouping val="clustered"/>
        <c:ser>
          <c:idx val="0"/>
          <c:order val="0"/>
          <c:tx>
            <c:strRef>
              <c:f>Лист1!$A$3</c:f>
              <c:strCache>
                <c:ptCount val="1"/>
                <c:pt idx="0">
                  <c:v>Объем продукции сельского хозяйства, млн. руб.</c:v>
                </c:pt>
              </c:strCache>
            </c:strRef>
          </c:tx>
          <c:spPr>
            <a:solidFill>
              <a:schemeClr val="accent2">
                <a:lumMod val="60000"/>
                <a:lumOff val="40000"/>
              </a:schemeClr>
            </a:solidFill>
          </c:spPr>
          <c:dLbls>
            <c:txPr>
              <a:bodyPr/>
              <a:lstStyle/>
              <a:p>
                <a:pPr>
                  <a:defRPr sz="1100" b="1" i="0" u="none" strike="noStrike" baseline="0">
                    <a:solidFill>
                      <a:srgbClr val="000000"/>
                    </a:solidFill>
                    <a:latin typeface="Times New Roman"/>
                    <a:ea typeface="Times New Roman"/>
                    <a:cs typeface="Times New Roman"/>
                  </a:defRPr>
                </a:pPr>
                <a:endParaRPr lang="ru-RU"/>
              </a:p>
            </c:txPr>
            <c:dLblPos val="ctr"/>
            <c:showVal val="1"/>
          </c:dLbls>
          <c:cat>
            <c:strRef>
              <c:f>Лист1!$B$2:$F$2</c:f>
              <c:strCache>
                <c:ptCount val="5"/>
                <c:pt idx="0">
                  <c:v>2013 год          отчет</c:v>
                </c:pt>
                <c:pt idx="1">
                  <c:v>2014 год          оценка</c:v>
                </c:pt>
                <c:pt idx="2">
                  <c:v>2015 год     прогноз</c:v>
                </c:pt>
                <c:pt idx="3">
                  <c:v>2016 год        прогноз</c:v>
                </c:pt>
                <c:pt idx="4">
                  <c:v>2017 год     прогноз</c:v>
                </c:pt>
              </c:strCache>
            </c:strRef>
          </c:cat>
          <c:val>
            <c:numRef>
              <c:f>Лист1!$B$3:$F$3</c:f>
              <c:numCache>
                <c:formatCode>0.0</c:formatCode>
                <c:ptCount val="5"/>
                <c:pt idx="0">
                  <c:v>271.3</c:v>
                </c:pt>
                <c:pt idx="1">
                  <c:v>294.3</c:v>
                </c:pt>
                <c:pt idx="2">
                  <c:v>319</c:v>
                </c:pt>
                <c:pt idx="3">
                  <c:v>344.3</c:v>
                </c:pt>
                <c:pt idx="4">
                  <c:v>378.6</c:v>
                </c:pt>
              </c:numCache>
            </c:numRef>
          </c:val>
        </c:ser>
        <c:dLbls>
          <c:showVal val="1"/>
        </c:dLbls>
        <c:gapWidth val="111"/>
        <c:overlap val="-27"/>
        <c:axId val="143042816"/>
        <c:axId val="143052800"/>
      </c:barChart>
      <c:lineChart>
        <c:grouping val="standard"/>
        <c:ser>
          <c:idx val="1"/>
          <c:order val="1"/>
          <c:tx>
            <c:strRef>
              <c:f>Лист1!$A$4</c:f>
              <c:strCache>
                <c:ptCount val="1"/>
                <c:pt idx="0">
                  <c:v>Индекс производства, % </c:v>
                </c:pt>
              </c:strCache>
            </c:strRef>
          </c:tx>
          <c:spPr>
            <a:ln w="53975">
              <a:solidFill>
                <a:schemeClr val="accent5">
                  <a:lumMod val="75000"/>
                </a:schemeClr>
              </a:solidFill>
            </a:ln>
          </c:spPr>
          <c:marker>
            <c:symbol val="square"/>
            <c:size val="6"/>
            <c:spPr>
              <a:solidFill>
                <a:srgbClr val="0070C0"/>
              </a:solidFill>
              <a:ln>
                <a:solidFill>
                  <a:srgbClr val="4BACC6">
                    <a:lumMod val="75000"/>
                  </a:srgbClr>
                </a:solidFill>
              </a:ln>
            </c:spPr>
          </c:marker>
          <c:dLbls>
            <c:dLbl>
              <c:idx val="4"/>
              <c:layout>
                <c:manualLayout>
                  <c:x val="-3.262272179046237E-2"/>
                  <c:y val="-4.6211597892489596E-2"/>
                </c:manualLayout>
              </c:layout>
              <c:dLblPos val="r"/>
              <c:showVal val="1"/>
            </c:dLbl>
            <c:txPr>
              <a:bodyPr/>
              <a:lstStyle/>
              <a:p>
                <a:pPr>
                  <a:defRPr sz="1100" b="0" i="0" u="none" strike="noStrike" baseline="0">
                    <a:solidFill>
                      <a:srgbClr val="000000"/>
                    </a:solidFill>
                    <a:latin typeface="Times New Roman"/>
                    <a:ea typeface="Times New Roman"/>
                    <a:cs typeface="Times New Roman"/>
                  </a:defRPr>
                </a:pPr>
                <a:endParaRPr lang="ru-RU"/>
              </a:p>
            </c:txPr>
            <c:dLblPos val="t"/>
            <c:showVal val="1"/>
          </c:dLbls>
          <c:cat>
            <c:strRef>
              <c:f>Лист1!$B$2:$F$2</c:f>
              <c:strCache>
                <c:ptCount val="5"/>
                <c:pt idx="0">
                  <c:v>2013 год          отчет</c:v>
                </c:pt>
                <c:pt idx="1">
                  <c:v>2014 год          оценка</c:v>
                </c:pt>
                <c:pt idx="2">
                  <c:v>2015 год     прогноз</c:v>
                </c:pt>
                <c:pt idx="3">
                  <c:v>2016 год        прогноз</c:v>
                </c:pt>
                <c:pt idx="4">
                  <c:v>2017 год     прогноз</c:v>
                </c:pt>
              </c:strCache>
            </c:strRef>
          </c:cat>
          <c:val>
            <c:numRef>
              <c:f>Лист1!$B$4:$F$4</c:f>
              <c:numCache>
                <c:formatCode>0.0</c:formatCode>
                <c:ptCount val="5"/>
                <c:pt idx="0">
                  <c:v>104.9</c:v>
                </c:pt>
                <c:pt idx="1">
                  <c:v>102.3</c:v>
                </c:pt>
                <c:pt idx="2">
                  <c:v>103.3</c:v>
                </c:pt>
                <c:pt idx="3">
                  <c:v>104.1</c:v>
                </c:pt>
                <c:pt idx="4">
                  <c:v>104.6</c:v>
                </c:pt>
              </c:numCache>
            </c:numRef>
          </c:val>
        </c:ser>
        <c:dLbls>
          <c:showVal val="1"/>
        </c:dLbls>
        <c:marker val="1"/>
        <c:axId val="143035392"/>
        <c:axId val="143041280"/>
      </c:lineChart>
      <c:catAx>
        <c:axId val="143035392"/>
        <c:scaling>
          <c:orientation val="minMax"/>
        </c:scaling>
        <c:axPos val="b"/>
        <c:numFmt formatCode="General" sourceLinked="1"/>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43041280"/>
        <c:crosses val="autoZero"/>
        <c:auto val="1"/>
        <c:lblAlgn val="ctr"/>
        <c:lblOffset val="100"/>
      </c:catAx>
      <c:valAx>
        <c:axId val="143041280"/>
        <c:scaling>
          <c:orientation val="minMax"/>
          <c:max val="105"/>
          <c:min val="98"/>
        </c:scaling>
        <c:axPos val="l"/>
        <c:numFmt formatCode="0.0" sourceLinked="1"/>
        <c:tickLblPos val="nextTo"/>
        <c:spPr>
          <a:noFill/>
          <a:ln>
            <a:noFill/>
          </a:ln>
        </c:spPr>
        <c:txPr>
          <a:bodyPr rot="0" vert="horz"/>
          <a:lstStyle/>
          <a:p>
            <a:pPr>
              <a:defRPr sz="1000" b="0" i="0" u="none" strike="noStrike" baseline="0">
                <a:solidFill>
                  <a:schemeClr val="bg1"/>
                </a:solidFill>
                <a:latin typeface="Times New Roman"/>
                <a:ea typeface="Times New Roman"/>
                <a:cs typeface="Times New Roman"/>
              </a:defRPr>
            </a:pPr>
            <a:endParaRPr lang="ru-RU"/>
          </a:p>
        </c:txPr>
        <c:crossAx val="143035392"/>
        <c:crosses val="autoZero"/>
        <c:crossBetween val="between"/>
        <c:majorUnit val="5"/>
      </c:valAx>
      <c:catAx>
        <c:axId val="143042816"/>
        <c:scaling>
          <c:orientation val="minMax"/>
        </c:scaling>
        <c:delete val="1"/>
        <c:axPos val="b"/>
        <c:tickLblPos val="none"/>
        <c:crossAx val="143052800"/>
        <c:crosses val="autoZero"/>
        <c:auto val="1"/>
        <c:lblAlgn val="ctr"/>
        <c:lblOffset val="100"/>
      </c:catAx>
      <c:valAx>
        <c:axId val="143052800"/>
        <c:scaling>
          <c:orientation val="minMax"/>
          <c:max val="450"/>
          <c:min val="150"/>
        </c:scaling>
        <c:axPos val="r"/>
        <c:numFmt formatCode="0.0" sourceLinked="1"/>
        <c:tickLblPos val="nextTo"/>
        <c:spPr>
          <a:ln>
            <a:noFill/>
          </a:ln>
        </c:spPr>
        <c:txPr>
          <a:bodyPr rot="0" vert="horz"/>
          <a:lstStyle/>
          <a:p>
            <a:pPr>
              <a:defRPr sz="1000" b="0" i="0" u="none" strike="noStrike" baseline="0">
                <a:solidFill>
                  <a:schemeClr val="bg1"/>
                </a:solidFill>
                <a:latin typeface="Times New Roman"/>
                <a:ea typeface="Times New Roman"/>
                <a:cs typeface="Times New Roman"/>
              </a:defRPr>
            </a:pPr>
            <a:endParaRPr lang="ru-RU"/>
          </a:p>
        </c:txPr>
        <c:crossAx val="143042816"/>
        <c:crosses val="max"/>
        <c:crossBetween val="between"/>
        <c:majorUnit val="50"/>
      </c:valAx>
    </c:plotArea>
    <c:legend>
      <c:legendPos val="b"/>
      <c:layout>
        <c:manualLayout>
          <c:xMode val="edge"/>
          <c:yMode val="edge"/>
          <c:x val="4.9999915605404628E-2"/>
          <c:y val="0.93807697513120558"/>
          <c:w val="0.9"/>
          <c:h val="6.1923024868794294E-2"/>
        </c:manualLayout>
      </c:layout>
      <c:txPr>
        <a:bodyPr/>
        <a:lstStyle/>
        <a:p>
          <a:pPr>
            <a:defRPr sz="1000" b="0" i="0" u="none" strike="noStrike" baseline="0">
              <a:solidFill>
                <a:srgbClr val="000000"/>
              </a:solidFill>
              <a:latin typeface="Times New Roman"/>
              <a:ea typeface="Times New Roman"/>
              <a:cs typeface="Times New Roman"/>
            </a:defRPr>
          </a:pPr>
          <a:endParaRPr lang="ru-RU"/>
        </a:p>
      </c:txPr>
    </c:legend>
    <c:plotVisOnly val="1"/>
    <c:dispBlanksAs val="gap"/>
  </c:chart>
  <c:spPr>
    <a:ln>
      <a:noFill/>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00" b="1" i="0" u="none" strike="noStrike" baseline="0">
                <a:solidFill>
                  <a:srgbClr val="000000"/>
                </a:solidFill>
                <a:latin typeface="Times New Roman"/>
                <a:ea typeface="Times New Roman"/>
                <a:cs typeface="Times New Roman"/>
              </a:defRPr>
            </a:pPr>
            <a:r>
              <a:rPr lang="ru-RU"/>
              <a:t>Инвестиции в основной капитал за счет всех источников финансирования (без субъектов малого предпринимательства и параметров неформальной деятельности), млн. руб.</a:t>
            </a:r>
          </a:p>
        </c:rich>
      </c:tx>
      <c:layout/>
    </c:title>
    <c:view3D>
      <c:depthPercent val="100"/>
      <c:rAngAx val="1"/>
    </c:view3D>
    <c:sideWall>
      <c:spPr>
        <a:noFill/>
      </c:spPr>
    </c:sideWall>
    <c:backWall>
      <c:spPr>
        <a:noFill/>
      </c:spPr>
    </c:backWall>
    <c:plotArea>
      <c:layout/>
      <c:bar3DChart>
        <c:barDir val="col"/>
        <c:grouping val="clustered"/>
        <c:ser>
          <c:idx val="0"/>
          <c:order val="0"/>
          <c:spPr>
            <a:solidFill>
              <a:srgbClr val="92D050"/>
            </a:solidFill>
          </c:spPr>
          <c:dLbls>
            <c:dLbl>
              <c:idx val="0"/>
              <c:layout>
                <c:manualLayout>
                  <c:x val="2.867924495838875E-2"/>
                  <c:y val="-2.7180193985258491E-2"/>
                </c:manualLayout>
              </c:layout>
              <c:showVal val="1"/>
            </c:dLbl>
            <c:dLbl>
              <c:idx val="1"/>
              <c:layout>
                <c:manualLayout>
                  <c:x val="2.5947888295685048E-2"/>
                  <c:y val="-3.5543330596107377E-2"/>
                </c:manualLayout>
              </c:layout>
              <c:showVal val="1"/>
            </c:dLbl>
            <c:dLbl>
              <c:idx val="2"/>
              <c:layout>
                <c:manualLayout>
                  <c:x val="1.6388139976222141E-2"/>
                  <c:y val="-3.345254644339507E-2"/>
                </c:manualLayout>
              </c:layout>
              <c:showVal val="1"/>
            </c:dLbl>
            <c:dLbl>
              <c:idx val="3"/>
              <c:layout>
                <c:manualLayout>
                  <c:x val="2.7313566627036902E-2"/>
                  <c:y val="-3.5543330596107377E-2"/>
                </c:manualLayout>
              </c:layout>
              <c:showVal val="1"/>
            </c:dLbl>
            <c:dLbl>
              <c:idx val="4"/>
              <c:layout>
                <c:manualLayout>
                  <c:x val="2.7313566627036902E-2"/>
                  <c:y val="-4.1815683054244081E-2"/>
                </c:manualLayout>
              </c:layout>
              <c:showVal val="1"/>
            </c:dLbl>
            <c:txPr>
              <a:bodyPr/>
              <a:lstStyle/>
              <a:p>
                <a:pPr>
                  <a:defRPr sz="1000" b="1" i="0" u="none" strike="noStrike" baseline="0">
                    <a:solidFill>
                      <a:srgbClr val="000000"/>
                    </a:solidFill>
                    <a:latin typeface="Times New Roman"/>
                    <a:ea typeface="Times New Roman"/>
                    <a:cs typeface="Times New Roman"/>
                  </a:defRPr>
                </a:pPr>
                <a:endParaRPr lang="ru-RU"/>
              </a:p>
            </c:txPr>
            <c:showVal val="1"/>
          </c:dLbls>
          <c:cat>
            <c:strRef>
              <c:f>Лист1!$A$2:$E$2</c:f>
              <c:strCache>
                <c:ptCount val="5"/>
                <c:pt idx="0">
                  <c:v>2013 год</c:v>
                </c:pt>
                <c:pt idx="1">
                  <c:v>2014 год оценка</c:v>
                </c:pt>
                <c:pt idx="2">
                  <c:v>2015 год прогноз</c:v>
                </c:pt>
                <c:pt idx="3">
                  <c:v>2016 год прогноз</c:v>
                </c:pt>
                <c:pt idx="4">
                  <c:v>2017 год прогноз</c:v>
                </c:pt>
              </c:strCache>
            </c:strRef>
          </c:cat>
          <c:val>
            <c:numRef>
              <c:f>Лист1!$A$3:$E$3</c:f>
              <c:numCache>
                <c:formatCode>#,##0.0_р_.</c:formatCode>
                <c:ptCount val="5"/>
                <c:pt idx="0">
                  <c:v>7583.2</c:v>
                </c:pt>
                <c:pt idx="1">
                  <c:v>15565.5</c:v>
                </c:pt>
                <c:pt idx="2">
                  <c:v>22764.7</c:v>
                </c:pt>
                <c:pt idx="3">
                  <c:v>22830.7</c:v>
                </c:pt>
                <c:pt idx="4">
                  <c:v>26357.7</c:v>
                </c:pt>
              </c:numCache>
            </c:numRef>
          </c:val>
        </c:ser>
        <c:dLbls/>
        <c:gapWidth val="100"/>
        <c:shape val="box"/>
        <c:axId val="143139584"/>
        <c:axId val="143141120"/>
        <c:axId val="0"/>
      </c:bar3DChart>
      <c:catAx>
        <c:axId val="143139584"/>
        <c:scaling>
          <c:orientation val="minMax"/>
        </c:scaling>
        <c:axPos val="b"/>
        <c:numFmt formatCode="General" sourceLinked="1"/>
        <c:majorTickMark val="none"/>
        <c:tickLblPos val="nextTo"/>
        <c:txPr>
          <a:bodyPr rot="0" vert="horz"/>
          <a:lstStyle/>
          <a:p>
            <a:pPr>
              <a:defRPr sz="1000" b="1" i="0" u="none" strike="noStrike" baseline="0">
                <a:solidFill>
                  <a:srgbClr val="000000"/>
                </a:solidFill>
                <a:latin typeface="Times New Roman"/>
                <a:ea typeface="Times New Roman"/>
                <a:cs typeface="Times New Roman"/>
              </a:defRPr>
            </a:pPr>
            <a:endParaRPr lang="ru-RU"/>
          </a:p>
        </c:txPr>
        <c:crossAx val="143141120"/>
        <c:crosses val="autoZero"/>
        <c:auto val="1"/>
        <c:lblAlgn val="ctr"/>
        <c:lblOffset val="100"/>
      </c:catAx>
      <c:valAx>
        <c:axId val="143141120"/>
        <c:scaling>
          <c:orientation val="minMax"/>
        </c:scaling>
        <c:delete val="1"/>
        <c:axPos val="l"/>
        <c:numFmt formatCode="#,##0.0_р_." sourceLinked="1"/>
        <c:tickLblPos val="none"/>
        <c:crossAx val="143139584"/>
        <c:crosses val="autoZero"/>
        <c:crossBetween val="between"/>
      </c:valAx>
      <c:spPr>
        <a:noFill/>
        <a:ln w="25400">
          <a:noFill/>
        </a:ln>
      </c:spPr>
    </c:plotArea>
    <c:plotVisOnly val="1"/>
    <c:dispBlanksAs val="gap"/>
  </c:chart>
  <c:spPr>
    <a:ln>
      <a:noFill/>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00" b="1" i="0" u="none" strike="noStrike" baseline="0">
                <a:solidFill>
                  <a:srgbClr val="000000"/>
                </a:solidFill>
                <a:latin typeface="Times New Roman"/>
                <a:ea typeface="Times New Roman"/>
                <a:cs typeface="Times New Roman"/>
              </a:defRPr>
            </a:pPr>
            <a:r>
              <a:rPr lang="ru-RU"/>
              <a:t>Структура инвестиций в основной капитал в разрезе источников финансирования</a:t>
            </a:r>
          </a:p>
        </c:rich>
      </c:tx>
      <c:layout/>
    </c:title>
    <c:view3D>
      <c:depthPercent val="100"/>
      <c:rAngAx val="1"/>
    </c:view3D>
    <c:plotArea>
      <c:layout>
        <c:manualLayout>
          <c:layoutTarget val="inner"/>
          <c:xMode val="edge"/>
          <c:yMode val="edge"/>
          <c:x val="2.4943310657596467E-2"/>
          <c:y val="0.16045197740112993"/>
          <c:w val="0.94557823129251761"/>
          <c:h val="0.6271029256936107"/>
        </c:manualLayout>
      </c:layout>
      <c:bar3DChart>
        <c:barDir val="col"/>
        <c:grouping val="stacked"/>
        <c:ser>
          <c:idx val="0"/>
          <c:order val="0"/>
          <c:tx>
            <c:strRef>
              <c:f>Лист1!$A$9</c:f>
              <c:strCache>
                <c:ptCount val="1"/>
                <c:pt idx="0">
                  <c:v>Собственные средства предприятий</c:v>
                </c:pt>
              </c:strCache>
            </c:strRef>
          </c:tx>
          <c:spPr>
            <a:solidFill>
              <a:schemeClr val="tx2">
                <a:lumMod val="20000"/>
                <a:lumOff val="80000"/>
              </a:schemeClr>
            </a:solidFill>
          </c:spPr>
          <c:dLbls>
            <c:txPr>
              <a:bodyPr/>
              <a:lstStyle/>
              <a:p>
                <a:pPr>
                  <a:defRPr sz="1000" b="1" i="0" u="none" strike="noStrike" baseline="0">
                    <a:solidFill>
                      <a:srgbClr val="000000"/>
                    </a:solidFill>
                    <a:latin typeface="Times New Roman"/>
                    <a:ea typeface="Times New Roman"/>
                    <a:cs typeface="Times New Roman"/>
                  </a:defRPr>
                </a:pPr>
                <a:endParaRPr lang="ru-RU"/>
              </a:p>
            </c:txPr>
            <c:showVal val="1"/>
          </c:dLbls>
          <c:cat>
            <c:strRef>
              <c:f>Лист1!$B$8:$F$8</c:f>
              <c:strCache>
                <c:ptCount val="5"/>
                <c:pt idx="0">
                  <c:v>2013 год</c:v>
                </c:pt>
                <c:pt idx="1">
                  <c:v>2014 год оценка</c:v>
                </c:pt>
                <c:pt idx="2">
                  <c:v>2015 год прогноз</c:v>
                </c:pt>
                <c:pt idx="3">
                  <c:v>2016 год прогноз</c:v>
                </c:pt>
                <c:pt idx="4">
                  <c:v>2017 год прогноз</c:v>
                </c:pt>
              </c:strCache>
            </c:strRef>
          </c:cat>
          <c:val>
            <c:numRef>
              <c:f>Лист1!$B$9:$F$9</c:f>
              <c:numCache>
                <c:formatCode>#,##0.0_р_.</c:formatCode>
                <c:ptCount val="5"/>
                <c:pt idx="0">
                  <c:v>5124.8</c:v>
                </c:pt>
                <c:pt idx="1">
                  <c:v>12843.64000000001</c:v>
                </c:pt>
                <c:pt idx="2">
                  <c:v>19723.7</c:v>
                </c:pt>
                <c:pt idx="3">
                  <c:v>19535.099999999937</c:v>
                </c:pt>
                <c:pt idx="4">
                  <c:v>22893</c:v>
                </c:pt>
              </c:numCache>
            </c:numRef>
          </c:val>
        </c:ser>
        <c:ser>
          <c:idx val="1"/>
          <c:order val="1"/>
          <c:tx>
            <c:strRef>
              <c:f>Лист1!$A$10</c:f>
              <c:strCache>
                <c:ptCount val="1"/>
                <c:pt idx="0">
                  <c:v>Привлеченные средства</c:v>
                </c:pt>
              </c:strCache>
            </c:strRef>
          </c:tx>
          <c:spPr>
            <a:solidFill>
              <a:srgbClr val="FFC000"/>
            </a:solidFill>
          </c:spPr>
          <c:dLbls>
            <c:txPr>
              <a:bodyPr/>
              <a:lstStyle/>
              <a:p>
                <a:pPr>
                  <a:defRPr sz="1000" b="1" i="0" u="none" strike="noStrike" baseline="0">
                    <a:solidFill>
                      <a:srgbClr val="000000"/>
                    </a:solidFill>
                    <a:latin typeface="Times New Roman"/>
                    <a:ea typeface="Times New Roman"/>
                    <a:cs typeface="Times New Roman"/>
                  </a:defRPr>
                </a:pPr>
                <a:endParaRPr lang="ru-RU"/>
              </a:p>
            </c:txPr>
            <c:showVal val="1"/>
          </c:dLbls>
          <c:cat>
            <c:strRef>
              <c:f>Лист1!$B$8:$F$8</c:f>
              <c:strCache>
                <c:ptCount val="5"/>
                <c:pt idx="0">
                  <c:v>2013 год</c:v>
                </c:pt>
                <c:pt idx="1">
                  <c:v>2014 год оценка</c:v>
                </c:pt>
                <c:pt idx="2">
                  <c:v>2015 год прогноз</c:v>
                </c:pt>
                <c:pt idx="3">
                  <c:v>2016 год прогноз</c:v>
                </c:pt>
                <c:pt idx="4">
                  <c:v>2017 год прогноз</c:v>
                </c:pt>
              </c:strCache>
            </c:strRef>
          </c:cat>
          <c:val>
            <c:numRef>
              <c:f>Лист1!$B$10:$F$10</c:f>
              <c:numCache>
                <c:formatCode>#,##0.0_р_.</c:formatCode>
                <c:ptCount val="5"/>
                <c:pt idx="0">
                  <c:v>2458.4</c:v>
                </c:pt>
                <c:pt idx="1">
                  <c:v>2721.8900000000012</c:v>
                </c:pt>
                <c:pt idx="2">
                  <c:v>3041</c:v>
                </c:pt>
                <c:pt idx="3">
                  <c:v>3295.6</c:v>
                </c:pt>
                <c:pt idx="4">
                  <c:v>3464.7</c:v>
                </c:pt>
              </c:numCache>
            </c:numRef>
          </c:val>
        </c:ser>
        <c:dLbls/>
        <c:gapWidth val="79"/>
        <c:gapDepth val="55"/>
        <c:shape val="box"/>
        <c:axId val="143196544"/>
        <c:axId val="143198080"/>
        <c:axId val="0"/>
      </c:bar3DChart>
      <c:catAx>
        <c:axId val="143196544"/>
        <c:scaling>
          <c:orientation val="minMax"/>
        </c:scaling>
        <c:axPos val="b"/>
        <c:numFmt formatCode="General" sourceLinked="1"/>
        <c:majorTickMark val="none"/>
        <c:tickLblPos val="nextTo"/>
        <c:txPr>
          <a:bodyPr rot="0" vert="horz"/>
          <a:lstStyle/>
          <a:p>
            <a:pPr>
              <a:defRPr sz="1000" b="1" i="0" u="none" strike="noStrike" baseline="0">
                <a:solidFill>
                  <a:srgbClr val="000000"/>
                </a:solidFill>
                <a:latin typeface="Times New Roman"/>
                <a:ea typeface="Times New Roman"/>
                <a:cs typeface="Times New Roman"/>
              </a:defRPr>
            </a:pPr>
            <a:endParaRPr lang="ru-RU"/>
          </a:p>
        </c:txPr>
        <c:crossAx val="143198080"/>
        <c:crosses val="autoZero"/>
        <c:auto val="1"/>
        <c:lblAlgn val="ctr"/>
        <c:lblOffset val="100"/>
      </c:catAx>
      <c:valAx>
        <c:axId val="143198080"/>
        <c:scaling>
          <c:orientation val="minMax"/>
        </c:scaling>
        <c:delete val="1"/>
        <c:axPos val="l"/>
        <c:numFmt formatCode="#,##0.0_р_." sourceLinked="1"/>
        <c:tickLblPos val="none"/>
        <c:crossAx val="143196544"/>
        <c:crosses val="autoZero"/>
        <c:crossBetween val="between"/>
      </c:valAx>
      <c:spPr>
        <a:noFill/>
        <a:ln w="25400">
          <a:noFill/>
        </a:ln>
      </c:spPr>
    </c:plotArea>
    <c:legend>
      <c:legendPos val="b"/>
      <c:layout/>
      <c:txPr>
        <a:bodyPr/>
        <a:lstStyle/>
        <a:p>
          <a:pPr>
            <a:defRPr sz="1000" b="1" i="0" u="none" strike="noStrike" baseline="0">
              <a:solidFill>
                <a:srgbClr val="000000"/>
              </a:solidFill>
              <a:latin typeface="Times New Roman"/>
              <a:ea typeface="Times New Roman"/>
              <a:cs typeface="Times New Roman"/>
            </a:defRPr>
          </a:pPr>
          <a:endParaRPr lang="ru-RU"/>
        </a:p>
      </c:txPr>
    </c:legend>
    <c:plotVisOnly val="1"/>
    <c:dispBlanksAs val="gap"/>
  </c:chart>
  <c:spPr>
    <a:ln>
      <a:noFill/>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00" b="1" i="0" u="none" strike="noStrike" baseline="0">
                <a:solidFill>
                  <a:srgbClr val="000000"/>
                </a:solidFill>
                <a:latin typeface="Times New Roman"/>
                <a:ea typeface="Times New Roman"/>
                <a:cs typeface="Times New Roman"/>
              </a:defRPr>
            </a:pPr>
            <a:r>
              <a:rPr lang="ru-RU" sz="1200"/>
              <a:t>Структура инвестиций в основной капитал по видам деятельности в 2013 году</a:t>
            </a:r>
          </a:p>
        </c:rich>
      </c:tx>
      <c:layout>
        <c:manualLayout>
          <c:xMode val="edge"/>
          <c:yMode val="edge"/>
          <c:x val="0.15075409836065573"/>
          <c:y val="0"/>
        </c:manualLayout>
      </c:layout>
    </c:title>
    <c:view3D>
      <c:rotX val="30"/>
      <c:perspective val="30"/>
    </c:view3D>
    <c:plotArea>
      <c:layout>
        <c:manualLayout>
          <c:layoutTarget val="inner"/>
          <c:xMode val="edge"/>
          <c:yMode val="edge"/>
          <c:x val="0.18410051202616071"/>
          <c:y val="0.36003499562555014"/>
          <c:w val="0.62982040359710134"/>
          <c:h val="0.59186259612284797"/>
        </c:manualLayout>
      </c:layout>
      <c:pie3DChart>
        <c:varyColors val="1"/>
        <c:ser>
          <c:idx val="0"/>
          <c:order val="0"/>
          <c:explosion val="11"/>
          <c:dLbls>
            <c:dLbl>
              <c:idx val="0"/>
              <c:layout>
                <c:manualLayout>
                  <c:x val="-3.65183942171163E-2"/>
                  <c:y val="-0.15184454574757225"/>
                </c:manualLayout>
              </c:layout>
              <c:dLblPos val="bestFit"/>
              <c:showCatName val="1"/>
              <c:showPercent val="1"/>
            </c:dLbl>
            <c:dLbl>
              <c:idx val="1"/>
              <c:layout>
                <c:manualLayout>
                  <c:x val="0.18857587883481777"/>
                  <c:y val="0"/>
                </c:manualLayout>
              </c:layout>
              <c:dLblPos val="bestFit"/>
              <c:showCatName val="1"/>
              <c:showPercent val="1"/>
            </c:dLbl>
            <c:dLbl>
              <c:idx val="2"/>
              <c:layout>
                <c:manualLayout>
                  <c:x val="-3.9734090615722216E-2"/>
                  <c:y val="0.10668298330840513"/>
                </c:manualLayout>
              </c:layout>
              <c:dLblPos val="bestFit"/>
              <c:showCatName val="1"/>
              <c:showPercent val="1"/>
            </c:dLbl>
            <c:dLbl>
              <c:idx val="3"/>
              <c:layout>
                <c:manualLayout>
                  <c:x val="-1.5040488791360293E-2"/>
                  <c:y val="-4.1760095777501463E-2"/>
                </c:manualLayout>
              </c:layout>
              <c:dLblPos val="bestFit"/>
              <c:showCatName val="1"/>
              <c:showPercent val="1"/>
            </c:dLbl>
            <c:dLbl>
              <c:idx val="4"/>
              <c:layout>
                <c:manualLayout>
                  <c:x val="5.0651865238156686E-2"/>
                  <c:y val="-4.6581019477828417E-2"/>
                </c:manualLayout>
              </c:layout>
              <c:dLblPos val="bestFit"/>
              <c:showCatName val="1"/>
              <c:showPercent val="1"/>
            </c:dLbl>
            <c:dLbl>
              <c:idx val="5"/>
              <c:layout>
                <c:manualLayout>
                  <c:x val="2.4370798657290881E-2"/>
                  <c:y val="-8.5009308105198234E-3"/>
                </c:manualLayout>
              </c:layout>
              <c:dLblPos val="bestFit"/>
              <c:showCatName val="1"/>
              <c:showPercent val="1"/>
            </c:dLbl>
            <c:txPr>
              <a:bodyPr/>
              <a:lstStyle/>
              <a:p>
                <a:pPr>
                  <a:defRPr sz="1000" b="1" i="0" u="none" strike="noStrike" baseline="0">
                    <a:solidFill>
                      <a:srgbClr val="000000"/>
                    </a:solidFill>
                    <a:latin typeface="Times New Roman"/>
                    <a:ea typeface="Times New Roman"/>
                    <a:cs typeface="Times New Roman"/>
                  </a:defRPr>
                </a:pPr>
                <a:endParaRPr lang="ru-RU"/>
              </a:p>
            </c:txPr>
            <c:showCatName val="1"/>
            <c:showPercent val="1"/>
            <c:showLeaderLines val="1"/>
          </c:dLbls>
          <c:cat>
            <c:strRef>
              <c:f>Лист1!$A$15:$A$19</c:f>
              <c:strCache>
                <c:ptCount val="5"/>
                <c:pt idx="0">
                  <c:v>Добыча полезных ископаемых</c:v>
                </c:pt>
                <c:pt idx="1">
                  <c:v>Производство и распределение электроэнергии газа и воды</c:v>
                </c:pt>
                <c:pt idx="2">
                  <c:v>Строительство</c:v>
                </c:pt>
                <c:pt idx="3">
                  <c:v>Транспорт и связь</c:v>
                </c:pt>
                <c:pt idx="4">
                  <c:v>Прочие</c:v>
                </c:pt>
              </c:strCache>
            </c:strRef>
          </c:cat>
          <c:val>
            <c:numRef>
              <c:f>Лист1!$B$15:$B$19</c:f>
              <c:numCache>
                <c:formatCode>0.00</c:formatCode>
                <c:ptCount val="5"/>
                <c:pt idx="0">
                  <c:v>3440.9</c:v>
                </c:pt>
                <c:pt idx="1">
                  <c:v>209.6</c:v>
                </c:pt>
                <c:pt idx="2">
                  <c:v>1867.9</c:v>
                </c:pt>
                <c:pt idx="3">
                  <c:v>1403.3</c:v>
                </c:pt>
                <c:pt idx="4">
                  <c:v>661.5</c:v>
                </c:pt>
              </c:numCache>
            </c:numRef>
          </c:val>
        </c:ser>
        <c:dLbls/>
      </c:pie3DChart>
      <c:spPr>
        <a:noFill/>
        <a:ln w="25400">
          <a:noFill/>
        </a:ln>
      </c:spPr>
    </c:plotArea>
    <c:plotVisOnly val="1"/>
    <c:dispBlanksAs val="zero"/>
  </c:chart>
  <c:spPr>
    <a:ln>
      <a:noFill/>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chartSpace>
</file>

<file path=word/drawings/drawing1.xml><?xml version="1.0" encoding="utf-8"?>
<c:userShapes xmlns:c="http://schemas.openxmlformats.org/drawingml/2006/chart">
  <cdr:relSizeAnchor xmlns:cdr="http://schemas.openxmlformats.org/drawingml/2006/chartDrawing">
    <cdr:from>
      <cdr:x>0.71788</cdr:x>
      <cdr:y>0.28886</cdr:y>
    </cdr:from>
    <cdr:to>
      <cdr:x>0.81621</cdr:x>
      <cdr:y>0.43939</cdr:y>
    </cdr:to>
    <cdr:sp macro="" textlink="">
      <cdr:nvSpPr>
        <cdr:cNvPr id="2" name="TextBox 1"/>
        <cdr:cNvSpPr txBox="1"/>
      </cdr:nvSpPr>
      <cdr:spPr>
        <a:xfrm xmlns:a="http://schemas.openxmlformats.org/drawingml/2006/main">
          <a:off x="6675855" y="175460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0.71788</cdr:x>
      <cdr:y>0.28886</cdr:y>
    </cdr:from>
    <cdr:to>
      <cdr:x>0.81621</cdr:x>
      <cdr:y>0.43939</cdr:y>
    </cdr:to>
    <cdr:sp macro="" textlink="">
      <cdr:nvSpPr>
        <cdr:cNvPr id="2" name="TextBox 1"/>
        <cdr:cNvSpPr txBox="1"/>
      </cdr:nvSpPr>
      <cdr:spPr>
        <a:xfrm xmlns:a="http://schemas.openxmlformats.org/drawingml/2006/main">
          <a:off x="6675855" y="175460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3E39C-F7F2-42A5-9587-A737BCDB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32</Pages>
  <Words>11606</Words>
  <Characters>66159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Плетнёва Татьяна Васильевна</dc:creator>
  <cp:lastModifiedBy>Гончаренко Виктория Игоревна</cp:lastModifiedBy>
  <cp:revision>33</cp:revision>
  <dcterms:created xsi:type="dcterms:W3CDTF">2014-10-05T16:56:00Z</dcterms:created>
  <dcterms:modified xsi:type="dcterms:W3CDTF">2014-11-05T05:25:00Z</dcterms:modified>
</cp:coreProperties>
</file>